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87A6D" w14:textId="77777777" w:rsidR="00D0203A" w:rsidRPr="00CA6852" w:rsidRDefault="00015F87" w:rsidP="00D0203A">
      <w:pPr>
        <w:spacing w:after="0" w:line="240" w:lineRule="auto"/>
        <w:jc w:val="both"/>
        <w:rPr>
          <w:b/>
          <w:color w:val="006666"/>
          <w:sz w:val="36"/>
          <w:szCs w:val="36"/>
        </w:rPr>
      </w:pPr>
      <w:r w:rsidRPr="00CA6852">
        <w:rPr>
          <w:noProof/>
          <w:lang w:eastAsia="en-GB"/>
        </w:rPr>
        <w:drawing>
          <wp:anchor distT="0" distB="0" distL="114300" distR="114300" simplePos="0" relativeHeight="251657728" behindDoc="1" locked="0" layoutInCell="1" allowOverlap="1" wp14:anchorId="45E57C61" wp14:editId="0FE164BE">
            <wp:simplePos x="0" y="0"/>
            <wp:positionH relativeFrom="column">
              <wp:posOffset>4572000</wp:posOffset>
            </wp:positionH>
            <wp:positionV relativeFrom="paragraph">
              <wp:posOffset>0</wp:posOffset>
            </wp:positionV>
            <wp:extent cx="1036955" cy="1485900"/>
            <wp:effectExtent l="0" t="0" r="4445" b="1270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1485900"/>
                    </a:xfrm>
                    <a:prstGeom prst="rect">
                      <a:avLst/>
                    </a:prstGeom>
                    <a:noFill/>
                    <a:ln>
                      <a:noFill/>
                    </a:ln>
                  </pic:spPr>
                </pic:pic>
              </a:graphicData>
            </a:graphic>
          </wp:anchor>
        </w:drawing>
      </w:r>
      <w:r w:rsidR="00D0203A" w:rsidRPr="00CA6852">
        <w:rPr>
          <w:b/>
          <w:color w:val="006666"/>
          <w:sz w:val="36"/>
          <w:szCs w:val="36"/>
        </w:rPr>
        <w:t>The North Sea Advisory Council</w:t>
      </w:r>
    </w:p>
    <w:p w14:paraId="70BD8E06" w14:textId="77777777" w:rsidR="00D0203A" w:rsidRPr="00CA6852" w:rsidRDefault="00D0203A" w:rsidP="00D0203A">
      <w:pPr>
        <w:spacing w:after="0" w:line="240" w:lineRule="auto"/>
        <w:jc w:val="both"/>
        <w:rPr>
          <w:b/>
        </w:rPr>
      </w:pPr>
    </w:p>
    <w:p w14:paraId="32FE61B5" w14:textId="77777777" w:rsidR="00D0203A" w:rsidRPr="00CA6852" w:rsidRDefault="00D0203A" w:rsidP="00D0203A">
      <w:pPr>
        <w:spacing w:after="0" w:line="240" w:lineRule="auto"/>
        <w:jc w:val="both"/>
        <w:rPr>
          <w:b/>
        </w:rPr>
      </w:pPr>
    </w:p>
    <w:p w14:paraId="63F73B63" w14:textId="77777777" w:rsidR="00D0203A" w:rsidRPr="00CA6852" w:rsidRDefault="00D0203A" w:rsidP="00D0203A">
      <w:pPr>
        <w:spacing w:after="0" w:line="240" w:lineRule="auto"/>
        <w:jc w:val="both"/>
        <w:rPr>
          <w:b/>
        </w:rPr>
      </w:pPr>
    </w:p>
    <w:p w14:paraId="1EAE2E9E" w14:textId="77777777" w:rsidR="00D0203A" w:rsidRPr="00CA6852" w:rsidRDefault="00D0203A" w:rsidP="00D0203A">
      <w:pPr>
        <w:spacing w:after="0" w:line="240" w:lineRule="auto"/>
        <w:jc w:val="both"/>
        <w:rPr>
          <w:b/>
        </w:rPr>
      </w:pPr>
    </w:p>
    <w:p w14:paraId="1B3F1B39" w14:textId="77777777" w:rsidR="00D0203A" w:rsidRPr="00CA6852" w:rsidRDefault="00D0203A" w:rsidP="00D0203A">
      <w:pPr>
        <w:spacing w:after="0" w:line="240" w:lineRule="auto"/>
        <w:ind w:left="567" w:hanging="567"/>
        <w:jc w:val="both"/>
        <w:rPr>
          <w:b/>
        </w:rPr>
      </w:pPr>
    </w:p>
    <w:p w14:paraId="5F04198B" w14:textId="77777777" w:rsidR="00D0203A" w:rsidRPr="00CA6852" w:rsidRDefault="00D0203A" w:rsidP="00D0203A">
      <w:pPr>
        <w:spacing w:after="0" w:line="240" w:lineRule="auto"/>
        <w:jc w:val="both"/>
        <w:rPr>
          <w:b/>
          <w:sz w:val="28"/>
          <w:szCs w:val="28"/>
        </w:rPr>
      </w:pPr>
    </w:p>
    <w:p w14:paraId="3B54E068" w14:textId="77777777" w:rsidR="00D0203A" w:rsidRPr="00CA6852" w:rsidRDefault="00D0203A" w:rsidP="00D0203A">
      <w:pPr>
        <w:spacing w:after="0" w:line="240" w:lineRule="auto"/>
        <w:jc w:val="both"/>
        <w:rPr>
          <w:b/>
          <w:i/>
          <w:sz w:val="28"/>
          <w:szCs w:val="28"/>
        </w:rPr>
      </w:pPr>
    </w:p>
    <w:p w14:paraId="1E3B3A12" w14:textId="564665F2" w:rsidR="004D0DAA" w:rsidRDefault="004D0DAA" w:rsidP="00993F51">
      <w:pPr>
        <w:spacing w:after="0" w:line="240" w:lineRule="auto"/>
        <w:jc w:val="both"/>
        <w:rPr>
          <w:b/>
          <w:sz w:val="24"/>
          <w:szCs w:val="24"/>
        </w:rPr>
      </w:pPr>
      <w:r>
        <w:rPr>
          <w:b/>
          <w:sz w:val="24"/>
          <w:szCs w:val="24"/>
        </w:rPr>
        <w:t>Agenda No. 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Paper no. 2.1</w:t>
      </w:r>
    </w:p>
    <w:p w14:paraId="4759ACC9" w14:textId="77777777" w:rsidR="004D0DAA" w:rsidRDefault="004D0DAA" w:rsidP="00993F51">
      <w:pPr>
        <w:spacing w:after="0" w:line="240" w:lineRule="auto"/>
        <w:jc w:val="both"/>
        <w:rPr>
          <w:b/>
          <w:sz w:val="24"/>
          <w:szCs w:val="24"/>
        </w:rPr>
      </w:pPr>
    </w:p>
    <w:p w14:paraId="6B56CFE0" w14:textId="0953A99E" w:rsidR="004D0DAA" w:rsidRDefault="004D0DAA" w:rsidP="004D0DAA">
      <w:pPr>
        <w:spacing w:after="0" w:line="240" w:lineRule="auto"/>
        <w:rPr>
          <w:b/>
          <w:sz w:val="24"/>
          <w:szCs w:val="24"/>
        </w:rPr>
      </w:pPr>
      <w:r>
        <w:rPr>
          <w:b/>
          <w:sz w:val="24"/>
          <w:szCs w:val="24"/>
        </w:rPr>
        <w:t>Spatial Planning Working Group</w:t>
      </w:r>
      <w:r>
        <w:rPr>
          <w:b/>
          <w:sz w:val="24"/>
          <w:szCs w:val="24"/>
        </w:rPr>
        <w:br/>
        <w:t>Lo</w:t>
      </w:r>
      <w:bookmarkStart w:id="0" w:name="_GoBack"/>
      <w:bookmarkEnd w:id="0"/>
      <w:r>
        <w:rPr>
          <w:b/>
          <w:sz w:val="24"/>
          <w:szCs w:val="24"/>
        </w:rPr>
        <w:t>ndon, 13</w:t>
      </w:r>
      <w:r w:rsidRPr="004D0DAA">
        <w:rPr>
          <w:b/>
          <w:sz w:val="24"/>
          <w:szCs w:val="24"/>
          <w:vertAlign w:val="superscript"/>
        </w:rPr>
        <w:t>th</w:t>
      </w:r>
      <w:r>
        <w:rPr>
          <w:b/>
          <w:sz w:val="24"/>
          <w:szCs w:val="24"/>
        </w:rPr>
        <w:t xml:space="preserve"> January, 2015</w:t>
      </w:r>
      <w:r>
        <w:rPr>
          <w:b/>
          <w:sz w:val="24"/>
          <w:szCs w:val="24"/>
        </w:rPr>
        <w:tab/>
      </w:r>
      <w:r>
        <w:rPr>
          <w:b/>
          <w:sz w:val="24"/>
          <w:szCs w:val="24"/>
        </w:rPr>
        <w:tab/>
      </w:r>
      <w:r>
        <w:rPr>
          <w:b/>
          <w:sz w:val="24"/>
          <w:szCs w:val="24"/>
        </w:rPr>
        <w:tab/>
      </w:r>
      <w:r>
        <w:rPr>
          <w:b/>
          <w:sz w:val="24"/>
          <w:szCs w:val="24"/>
        </w:rPr>
        <w:tab/>
      </w:r>
      <w:r>
        <w:rPr>
          <w:b/>
          <w:sz w:val="24"/>
          <w:szCs w:val="24"/>
        </w:rPr>
        <w:tab/>
        <w:t>Paper for Approval</w:t>
      </w:r>
    </w:p>
    <w:p w14:paraId="2F584312" w14:textId="77777777" w:rsidR="004D0DAA" w:rsidRDefault="004D0DAA" w:rsidP="004D0DAA">
      <w:pPr>
        <w:spacing w:after="0" w:line="240" w:lineRule="auto"/>
        <w:rPr>
          <w:b/>
          <w:sz w:val="24"/>
          <w:szCs w:val="24"/>
        </w:rPr>
      </w:pPr>
    </w:p>
    <w:p w14:paraId="592D9C10" w14:textId="5C27DEC5" w:rsidR="004D0DAA" w:rsidRDefault="004D0DAA" w:rsidP="004D0DAA">
      <w:pPr>
        <w:spacing w:after="0" w:line="240" w:lineRule="auto"/>
        <w:jc w:val="center"/>
        <w:rPr>
          <w:b/>
          <w:sz w:val="24"/>
          <w:szCs w:val="24"/>
        </w:rPr>
      </w:pPr>
      <w:r>
        <w:rPr>
          <w:b/>
          <w:sz w:val="24"/>
          <w:szCs w:val="24"/>
          <w:u w:val="single"/>
        </w:rPr>
        <w:t>Report of Last Meeting</w:t>
      </w:r>
    </w:p>
    <w:p w14:paraId="0FD235DF" w14:textId="77777777" w:rsidR="004D0DAA" w:rsidRDefault="004D0DAA" w:rsidP="00993F51">
      <w:pPr>
        <w:spacing w:after="0" w:line="240" w:lineRule="auto"/>
        <w:jc w:val="both"/>
        <w:rPr>
          <w:b/>
          <w:sz w:val="24"/>
          <w:szCs w:val="24"/>
        </w:rPr>
      </w:pPr>
    </w:p>
    <w:p w14:paraId="4231D9BC" w14:textId="77777777" w:rsidR="00993F51" w:rsidRPr="00CA6852" w:rsidRDefault="00993F51" w:rsidP="00993F51">
      <w:pPr>
        <w:spacing w:after="0" w:line="240" w:lineRule="auto"/>
        <w:jc w:val="both"/>
        <w:rPr>
          <w:b/>
          <w:sz w:val="24"/>
          <w:szCs w:val="24"/>
        </w:rPr>
      </w:pPr>
      <w:r w:rsidRPr="00CA6852">
        <w:rPr>
          <w:b/>
          <w:sz w:val="24"/>
          <w:szCs w:val="24"/>
        </w:rPr>
        <w:t>Spatial Planning Working Group</w:t>
      </w:r>
    </w:p>
    <w:p w14:paraId="0D7AE6FA" w14:textId="77777777" w:rsidR="00993F51" w:rsidRPr="00CA6852" w:rsidRDefault="00993F51" w:rsidP="00993F51">
      <w:pPr>
        <w:spacing w:after="0" w:line="240" w:lineRule="auto"/>
        <w:jc w:val="both"/>
        <w:rPr>
          <w:b/>
          <w:sz w:val="24"/>
          <w:szCs w:val="24"/>
        </w:rPr>
      </w:pPr>
      <w:r w:rsidRPr="00CA6852">
        <w:rPr>
          <w:b/>
          <w:sz w:val="24"/>
          <w:szCs w:val="24"/>
        </w:rPr>
        <w:t>Husa President Park Hotel</w:t>
      </w:r>
    </w:p>
    <w:p w14:paraId="3EFBCAF4" w14:textId="77777777" w:rsidR="00993F51" w:rsidRPr="00CA6852" w:rsidRDefault="00993F51" w:rsidP="00993F51">
      <w:pPr>
        <w:spacing w:after="0" w:line="240" w:lineRule="auto"/>
        <w:jc w:val="both"/>
        <w:rPr>
          <w:b/>
          <w:sz w:val="24"/>
          <w:szCs w:val="24"/>
        </w:rPr>
      </w:pPr>
      <w:r w:rsidRPr="00CA6852">
        <w:rPr>
          <w:b/>
          <w:sz w:val="24"/>
          <w:szCs w:val="24"/>
        </w:rPr>
        <w:t>Brussels, Belgium</w:t>
      </w:r>
    </w:p>
    <w:p w14:paraId="5CA5CD14" w14:textId="77777777" w:rsidR="00993F51" w:rsidRPr="00CA6852" w:rsidRDefault="00993F51" w:rsidP="00993F51">
      <w:pPr>
        <w:spacing w:after="0" w:line="240" w:lineRule="auto"/>
        <w:jc w:val="both"/>
        <w:rPr>
          <w:b/>
          <w:sz w:val="24"/>
          <w:szCs w:val="24"/>
        </w:rPr>
      </w:pPr>
    </w:p>
    <w:p w14:paraId="5FB95B52" w14:textId="37941796" w:rsidR="00993F51" w:rsidRPr="00CA6852" w:rsidRDefault="00993F51" w:rsidP="00993F51">
      <w:pPr>
        <w:spacing w:after="0" w:line="240" w:lineRule="auto"/>
        <w:jc w:val="both"/>
        <w:rPr>
          <w:b/>
          <w:sz w:val="24"/>
          <w:szCs w:val="24"/>
        </w:rPr>
      </w:pPr>
      <w:r w:rsidRPr="00CA6852">
        <w:rPr>
          <w:b/>
          <w:sz w:val="24"/>
          <w:szCs w:val="24"/>
        </w:rPr>
        <w:t>22nd September 2015</w:t>
      </w:r>
      <w:r w:rsidR="004D0DAA">
        <w:rPr>
          <w:b/>
          <w:sz w:val="24"/>
          <w:szCs w:val="24"/>
        </w:rPr>
        <w:tab/>
      </w:r>
      <w:r w:rsidR="004D0DAA">
        <w:rPr>
          <w:b/>
          <w:sz w:val="24"/>
          <w:szCs w:val="24"/>
        </w:rPr>
        <w:tab/>
      </w:r>
      <w:r w:rsidR="004D0DAA">
        <w:rPr>
          <w:b/>
          <w:sz w:val="24"/>
          <w:szCs w:val="24"/>
        </w:rPr>
        <w:tab/>
      </w:r>
      <w:r w:rsidR="004D0DAA">
        <w:rPr>
          <w:b/>
          <w:sz w:val="24"/>
          <w:szCs w:val="24"/>
        </w:rPr>
        <w:tab/>
      </w:r>
      <w:r w:rsidR="004D0DAA">
        <w:rPr>
          <w:b/>
          <w:sz w:val="24"/>
          <w:szCs w:val="24"/>
        </w:rPr>
        <w:tab/>
      </w:r>
      <w:r w:rsidR="004D0DAA">
        <w:rPr>
          <w:b/>
          <w:sz w:val="24"/>
          <w:szCs w:val="24"/>
        </w:rPr>
        <w:tab/>
      </w:r>
    </w:p>
    <w:p w14:paraId="64F13792" w14:textId="77777777" w:rsidR="00D0203A" w:rsidRPr="00CA6852" w:rsidRDefault="00D0203A" w:rsidP="00D0203A">
      <w:pPr>
        <w:spacing w:after="0" w:line="240" w:lineRule="auto"/>
        <w:jc w:val="both"/>
        <w:rPr>
          <w:b/>
          <w:sz w:val="24"/>
          <w:szCs w:val="24"/>
        </w:rPr>
      </w:pPr>
    </w:p>
    <w:p w14:paraId="14EDD3A1" w14:textId="77777777" w:rsidR="00D0203A" w:rsidRPr="00CA6852" w:rsidRDefault="00D0203A" w:rsidP="00D0203A">
      <w:pPr>
        <w:tabs>
          <w:tab w:val="left" w:pos="7371"/>
        </w:tabs>
        <w:spacing w:after="0" w:line="240" w:lineRule="auto"/>
        <w:rPr>
          <w:b/>
          <w:color w:val="006666"/>
          <w:sz w:val="24"/>
          <w:szCs w:val="24"/>
        </w:rPr>
      </w:pPr>
      <w:r w:rsidRPr="00CA6852">
        <w:rPr>
          <w:b/>
          <w:sz w:val="24"/>
          <w:szCs w:val="24"/>
        </w:rPr>
        <w:t>Rapporteur: Tony Hawkins</w:t>
      </w:r>
      <w:r w:rsidRPr="00CA6852">
        <w:rPr>
          <w:b/>
          <w:sz w:val="24"/>
          <w:szCs w:val="24"/>
        </w:rPr>
        <w:tab/>
        <w:t>Draft (</w:t>
      </w:r>
      <w:r w:rsidR="00FB08E1">
        <w:rPr>
          <w:b/>
          <w:sz w:val="24"/>
          <w:szCs w:val="24"/>
        </w:rPr>
        <w:t>2</w:t>
      </w:r>
      <w:r w:rsidRPr="00CA6852">
        <w:rPr>
          <w:b/>
          <w:sz w:val="24"/>
          <w:szCs w:val="24"/>
        </w:rPr>
        <w:t>)</w:t>
      </w:r>
      <w:r w:rsidRPr="00CA6852">
        <w:rPr>
          <w:b/>
          <w:sz w:val="24"/>
          <w:szCs w:val="24"/>
        </w:rPr>
        <w:tab/>
        <w:t xml:space="preserve"> </w:t>
      </w:r>
    </w:p>
    <w:p w14:paraId="02DC7712" w14:textId="77777777" w:rsidR="00D0203A" w:rsidRPr="00CA6852" w:rsidRDefault="00D0203A" w:rsidP="00D0203A">
      <w:pPr>
        <w:spacing w:after="0" w:line="240" w:lineRule="auto"/>
        <w:jc w:val="both"/>
        <w:rPr>
          <w:b/>
        </w:rPr>
      </w:pPr>
    </w:p>
    <w:p w14:paraId="5ED0AE20" w14:textId="77777777" w:rsidR="00D0203A" w:rsidRPr="00CA6852" w:rsidRDefault="00D0203A" w:rsidP="00D0203A">
      <w:pPr>
        <w:spacing w:after="0" w:line="240" w:lineRule="auto"/>
        <w:ind w:left="567" w:hanging="567"/>
        <w:jc w:val="both"/>
        <w:rPr>
          <w:b/>
          <w:sz w:val="24"/>
          <w:szCs w:val="24"/>
        </w:rPr>
      </w:pPr>
    </w:p>
    <w:p w14:paraId="06B4F180" w14:textId="77777777" w:rsidR="00D0203A" w:rsidRPr="00CA6852" w:rsidRDefault="00D0203A" w:rsidP="00D0203A">
      <w:pPr>
        <w:spacing w:after="0" w:line="240" w:lineRule="auto"/>
        <w:ind w:left="567" w:hanging="567"/>
        <w:jc w:val="both"/>
        <w:rPr>
          <w:b/>
          <w:sz w:val="24"/>
          <w:szCs w:val="24"/>
        </w:rPr>
      </w:pPr>
      <w:r w:rsidRPr="00CA6852">
        <w:rPr>
          <w:b/>
          <w:sz w:val="24"/>
          <w:szCs w:val="24"/>
        </w:rPr>
        <w:t>1</w:t>
      </w:r>
      <w:r w:rsidRPr="00CA6852">
        <w:rPr>
          <w:b/>
          <w:sz w:val="24"/>
          <w:szCs w:val="24"/>
        </w:rPr>
        <w:tab/>
        <w:t xml:space="preserve">Welcome &amp; Introduction </w:t>
      </w:r>
    </w:p>
    <w:p w14:paraId="66A166E2" w14:textId="77777777" w:rsidR="00D0203A" w:rsidRPr="00CA6852" w:rsidRDefault="00D0203A" w:rsidP="00D0203A">
      <w:pPr>
        <w:spacing w:after="0" w:line="240" w:lineRule="auto"/>
        <w:ind w:left="567" w:hanging="567"/>
        <w:jc w:val="both"/>
        <w:rPr>
          <w:b/>
        </w:rPr>
      </w:pPr>
    </w:p>
    <w:p w14:paraId="58F4CC75" w14:textId="77777777" w:rsidR="005908BB" w:rsidRPr="00CA6852" w:rsidRDefault="007F08C8" w:rsidP="00D0203A">
      <w:pPr>
        <w:ind w:left="567" w:hanging="567"/>
        <w:jc w:val="both"/>
      </w:pPr>
      <w:r w:rsidRPr="00CA6852">
        <w:t>1.1</w:t>
      </w:r>
      <w:r w:rsidRPr="00CA6852">
        <w:tab/>
      </w:r>
      <w:r w:rsidR="008B68C2" w:rsidRPr="00CA6852">
        <w:t>The chairman Euan Dunn welcomed participants and especially those from the Belgian government who were attending to describe for us proposed fisheries measures for protected areas in Belgian waters.</w:t>
      </w:r>
    </w:p>
    <w:p w14:paraId="425494F9" w14:textId="77777777" w:rsidR="008B68C2" w:rsidRPr="00CA6852" w:rsidRDefault="005908BB" w:rsidP="00D0203A">
      <w:pPr>
        <w:ind w:left="567" w:hanging="567"/>
        <w:jc w:val="both"/>
      </w:pPr>
      <w:r w:rsidRPr="00CA6852">
        <w:t>1.2</w:t>
      </w:r>
      <w:r w:rsidRPr="00CA6852">
        <w:tab/>
        <w:t>Apologies were received from Malcolm Morrison of the Scottish Fishermen’s Federation</w:t>
      </w:r>
      <w:r w:rsidR="008B68C2" w:rsidRPr="00CA6852">
        <w:t>.</w:t>
      </w:r>
    </w:p>
    <w:p w14:paraId="41E3E096" w14:textId="77777777" w:rsidR="00D0203A" w:rsidRPr="00CA6852" w:rsidRDefault="008B68C2" w:rsidP="00D0203A">
      <w:pPr>
        <w:ind w:left="567" w:hanging="567"/>
        <w:jc w:val="both"/>
      </w:pPr>
      <w:r w:rsidRPr="00CA6852">
        <w:t>1.3</w:t>
      </w:r>
      <w:r w:rsidRPr="00CA6852">
        <w:tab/>
        <w:t xml:space="preserve">Participants introduced themselves. The agenda for the meeting was then agreed, with the addition of an item on </w:t>
      </w:r>
      <w:r w:rsidR="00AA340C" w:rsidRPr="00CA6852">
        <w:t>German proposals for a protected area within</w:t>
      </w:r>
      <w:r w:rsidRPr="00CA6852">
        <w:t xml:space="preserve"> the North Sea</w:t>
      </w:r>
      <w:r w:rsidR="00AA340C" w:rsidRPr="00CA6852">
        <w:t xml:space="preserve"> to be inserted under Any Other Business</w:t>
      </w:r>
      <w:r w:rsidRPr="00CA6852">
        <w:t>.</w:t>
      </w:r>
    </w:p>
    <w:p w14:paraId="5E2BA2F2" w14:textId="77777777" w:rsidR="00D0203A" w:rsidRPr="00CA6852" w:rsidRDefault="00D0203A" w:rsidP="00D0203A">
      <w:pPr>
        <w:ind w:left="567" w:hanging="567"/>
        <w:jc w:val="both"/>
      </w:pPr>
    </w:p>
    <w:p w14:paraId="4B17108E" w14:textId="77777777" w:rsidR="00F61944" w:rsidRPr="00CA6852" w:rsidRDefault="008B68C2" w:rsidP="00D0203A">
      <w:pPr>
        <w:ind w:left="567" w:hanging="567"/>
        <w:jc w:val="both"/>
        <w:rPr>
          <w:b/>
          <w:sz w:val="24"/>
          <w:szCs w:val="24"/>
        </w:rPr>
      </w:pPr>
      <w:r w:rsidRPr="00CA6852">
        <w:rPr>
          <w:b/>
          <w:sz w:val="24"/>
          <w:szCs w:val="24"/>
        </w:rPr>
        <w:t>2</w:t>
      </w:r>
      <w:r w:rsidRPr="00CA6852">
        <w:rPr>
          <w:b/>
          <w:sz w:val="24"/>
          <w:szCs w:val="24"/>
        </w:rPr>
        <w:tab/>
        <w:t>Report of the Previous Meeting</w:t>
      </w:r>
    </w:p>
    <w:p w14:paraId="4EE2EDFA" w14:textId="77777777" w:rsidR="00D0203A" w:rsidRPr="00CA6852" w:rsidRDefault="00027367" w:rsidP="00D0203A">
      <w:pPr>
        <w:ind w:left="567" w:hanging="567"/>
        <w:jc w:val="both"/>
      </w:pPr>
      <w:r w:rsidRPr="00CA6852">
        <w:t>2</w:t>
      </w:r>
      <w:r w:rsidR="00F61944" w:rsidRPr="00CA6852">
        <w:t xml:space="preserve">.1 </w:t>
      </w:r>
      <w:r w:rsidR="00F61944" w:rsidRPr="00CA6852">
        <w:tab/>
      </w:r>
      <w:r w:rsidR="007F08C8" w:rsidRPr="00CA6852">
        <w:t>The report of the previous meeting, held on the 7</w:t>
      </w:r>
      <w:r w:rsidR="007F08C8" w:rsidRPr="00CA6852">
        <w:rPr>
          <w:vertAlign w:val="superscript"/>
        </w:rPr>
        <w:t>th</w:t>
      </w:r>
      <w:r w:rsidR="007F08C8" w:rsidRPr="00CA6852">
        <w:t xml:space="preserve"> July at Schiphol, was reviewed</w:t>
      </w:r>
      <w:r w:rsidR="00F61944" w:rsidRPr="00CA6852">
        <w:t>.</w:t>
      </w:r>
      <w:r w:rsidR="007F08C8" w:rsidRPr="00CA6852">
        <w:t xml:space="preserve"> The last line of paragraph 4.19 was amended to read: “…1200, 1600 and 4200km</w:t>
      </w:r>
      <w:r w:rsidR="007F08C8" w:rsidRPr="00CA6852">
        <w:rPr>
          <w:vertAlign w:val="superscript"/>
        </w:rPr>
        <w:t>2</w:t>
      </w:r>
      <w:r w:rsidR="007F08C8" w:rsidRPr="00CA6852">
        <w:t>.” The report also overstated the Danish position in paragraph 4.25. Euan Dunn would amend the text.</w:t>
      </w:r>
    </w:p>
    <w:p w14:paraId="72D07A37" w14:textId="77777777" w:rsidR="00027367" w:rsidRPr="00CA6852" w:rsidRDefault="00027367" w:rsidP="00D0203A">
      <w:pPr>
        <w:ind w:left="567" w:hanging="567"/>
        <w:jc w:val="both"/>
      </w:pPr>
      <w:r w:rsidRPr="00CA6852">
        <w:t>2.2</w:t>
      </w:r>
      <w:r w:rsidRPr="00CA6852">
        <w:tab/>
      </w:r>
      <w:r w:rsidR="00CA28AA" w:rsidRPr="00CA6852">
        <w:rPr>
          <w:rFonts w:cs="Arial"/>
        </w:rPr>
        <w:t>One of the action points was to clarify (to Ton IJlstra and NSAC) the consequences for the industry of not being able to fish in Cleaver Bank management zones.</w:t>
      </w:r>
      <w:r w:rsidR="00CA28AA" w:rsidRPr="00CA6852">
        <w:t xml:space="preserve"> Concern had been expressed that the proposals for the Cleaver Bank were unreasonable for </w:t>
      </w:r>
      <w:r w:rsidR="00380EAC">
        <w:t xml:space="preserve">Dutch </w:t>
      </w:r>
      <w:r w:rsidR="00CA28AA" w:rsidRPr="00CA6852">
        <w:t>fishermen. This was now being dealt with through ongoing discussions within the Netherlands.</w:t>
      </w:r>
    </w:p>
    <w:p w14:paraId="42ED8D7C" w14:textId="77777777" w:rsidR="006463B3" w:rsidRPr="00CA6852" w:rsidRDefault="00CA28AA" w:rsidP="00D0203A">
      <w:pPr>
        <w:ind w:left="567" w:hanging="567"/>
        <w:jc w:val="both"/>
      </w:pPr>
      <w:r w:rsidRPr="00CA6852">
        <w:lastRenderedPageBreak/>
        <w:t>2.3</w:t>
      </w:r>
      <w:r w:rsidRPr="00CA6852">
        <w:tab/>
        <w:t xml:space="preserve">Another action point was </w:t>
      </w:r>
      <w:r w:rsidRPr="00CA6852">
        <w:rPr>
          <w:rFonts w:cs="Arial"/>
        </w:rPr>
        <w:t xml:space="preserve">to use the </w:t>
      </w:r>
      <w:r w:rsidR="00380EAC">
        <w:rPr>
          <w:rFonts w:cs="Arial"/>
        </w:rPr>
        <w:t xml:space="preserve">NSAC’s </w:t>
      </w:r>
      <w:r w:rsidRPr="00CA6852">
        <w:rPr>
          <w:rFonts w:cs="Arial"/>
        </w:rPr>
        <w:t>Focus Group’s TORs as a template for a working agreement for stakeholder consultations. There was a need to revise the TORs with external bodies so that responsibilities were clear. Euan Dunn would reconsider them, so that the NSAC is able to deal with external bodies in a professional manner.</w:t>
      </w:r>
    </w:p>
    <w:p w14:paraId="2E59B17A" w14:textId="77777777" w:rsidR="006F55F3" w:rsidRPr="00CA6852" w:rsidRDefault="006F55F3" w:rsidP="00D0203A">
      <w:pPr>
        <w:ind w:left="567" w:hanging="567"/>
        <w:jc w:val="both"/>
      </w:pPr>
    </w:p>
    <w:p w14:paraId="41FA7095" w14:textId="77777777" w:rsidR="006F55F3" w:rsidRPr="00CA6852" w:rsidRDefault="006F55F3" w:rsidP="006F55F3">
      <w:pPr>
        <w:ind w:left="567" w:hanging="567"/>
        <w:jc w:val="both"/>
        <w:rPr>
          <w:b/>
          <w:sz w:val="24"/>
          <w:szCs w:val="24"/>
        </w:rPr>
      </w:pPr>
      <w:r w:rsidRPr="00CA6852">
        <w:rPr>
          <w:b/>
          <w:sz w:val="24"/>
          <w:szCs w:val="24"/>
        </w:rPr>
        <w:t>3</w:t>
      </w:r>
      <w:r w:rsidRPr="00CA6852">
        <w:rPr>
          <w:b/>
          <w:sz w:val="24"/>
          <w:szCs w:val="24"/>
        </w:rPr>
        <w:tab/>
      </w:r>
      <w:r w:rsidR="00CA28AA" w:rsidRPr="00CA6852">
        <w:rPr>
          <w:b/>
          <w:sz w:val="24"/>
          <w:szCs w:val="24"/>
        </w:rPr>
        <w:t>Proposed Fisheries Measures for the Belgian Part of the North Sea</w:t>
      </w:r>
    </w:p>
    <w:p w14:paraId="3FBDE71C" w14:textId="77777777" w:rsidR="00D0203A" w:rsidRPr="00CA6852" w:rsidRDefault="006F55F3" w:rsidP="00D0203A">
      <w:pPr>
        <w:ind w:left="567" w:hanging="567"/>
        <w:jc w:val="both"/>
        <w:rPr>
          <w:rFonts w:eastAsia="Times New Roman"/>
        </w:rPr>
      </w:pPr>
      <w:r w:rsidRPr="00CA6852">
        <w:rPr>
          <w:rFonts w:eastAsia="Times New Roman"/>
        </w:rPr>
        <w:t>3</w:t>
      </w:r>
      <w:r w:rsidR="006463B3" w:rsidRPr="00CA6852">
        <w:rPr>
          <w:rFonts w:eastAsia="Times New Roman"/>
        </w:rPr>
        <w:t>.</w:t>
      </w:r>
      <w:r w:rsidRPr="00CA6852">
        <w:rPr>
          <w:rFonts w:eastAsia="Times New Roman"/>
        </w:rPr>
        <w:t>1</w:t>
      </w:r>
      <w:r w:rsidR="006463B3" w:rsidRPr="00CA6852">
        <w:rPr>
          <w:rFonts w:eastAsia="Times New Roman"/>
        </w:rPr>
        <w:tab/>
      </w:r>
      <w:r w:rsidR="00CA28AA" w:rsidRPr="00CA6852">
        <w:rPr>
          <w:rFonts w:eastAsia="Times New Roman"/>
        </w:rPr>
        <w:t>At its last meeting the Working Group had addressed the Dutch measures undertaken under the Marine Strategy Framework Directive</w:t>
      </w:r>
      <w:r w:rsidR="00AC676A" w:rsidRPr="00CA6852">
        <w:rPr>
          <w:rFonts w:eastAsia="Times New Roman"/>
        </w:rPr>
        <w:t xml:space="preserve"> (MSFD)</w:t>
      </w:r>
      <w:r w:rsidR="00DD347E" w:rsidRPr="00CA6852">
        <w:rPr>
          <w:rFonts w:eastAsia="Times New Roman"/>
        </w:rPr>
        <w:t>.</w:t>
      </w:r>
      <w:r w:rsidR="00115470" w:rsidRPr="00CA6852">
        <w:rPr>
          <w:rFonts w:eastAsia="Times New Roman"/>
        </w:rPr>
        <w:t xml:space="preserve"> Now we were addressing proposals from the Belgian Government. Such proposals affected a range of other national fleets. Today was an informal consultation, not an attempt to collate </w:t>
      </w:r>
      <w:r w:rsidR="00380EAC">
        <w:rPr>
          <w:rFonts w:eastAsia="Times New Roman"/>
        </w:rPr>
        <w:t xml:space="preserve">or find consensual </w:t>
      </w:r>
      <w:r w:rsidR="00115470" w:rsidRPr="00CA6852">
        <w:rPr>
          <w:rFonts w:eastAsia="Times New Roman"/>
        </w:rPr>
        <w:t>NSAC advice. Julia Puplesyte and her colleagues from the Belgian Ministry would gather ideas and reflections from NSAC members, as required under Article 11 of the CFP basic regulation.</w:t>
      </w:r>
    </w:p>
    <w:p w14:paraId="7357F4FC" w14:textId="77777777" w:rsidR="00DD347E" w:rsidRPr="00CA6852" w:rsidRDefault="006F55F3" w:rsidP="00AC676A">
      <w:pPr>
        <w:ind w:left="567" w:hanging="567"/>
        <w:jc w:val="both"/>
        <w:rPr>
          <w:rFonts w:eastAsia="Times New Roman"/>
        </w:rPr>
      </w:pPr>
      <w:r w:rsidRPr="00CA6852">
        <w:rPr>
          <w:rFonts w:eastAsia="Times New Roman"/>
        </w:rPr>
        <w:t>3.2</w:t>
      </w:r>
      <w:r w:rsidR="00DD347E" w:rsidRPr="00CA6852">
        <w:rPr>
          <w:rFonts w:eastAsia="Times New Roman"/>
        </w:rPr>
        <w:tab/>
      </w:r>
      <w:r w:rsidR="00115470" w:rsidRPr="00CA6852">
        <w:rPr>
          <w:rFonts w:eastAsia="Times New Roman"/>
        </w:rPr>
        <w:t xml:space="preserve">Julia Puplesyte from the Belgian Service of the </w:t>
      </w:r>
      <w:r w:rsidR="00A07D22" w:rsidRPr="00CA6852">
        <w:rPr>
          <w:rFonts w:eastAsia="Times New Roman"/>
        </w:rPr>
        <w:t>M</w:t>
      </w:r>
      <w:r w:rsidR="00115470" w:rsidRPr="00CA6852">
        <w:rPr>
          <w:rFonts w:eastAsia="Times New Roman"/>
        </w:rPr>
        <w:t xml:space="preserve">arine Environment presented the Belgian proposals. </w:t>
      </w:r>
      <w:r w:rsidR="00D403B8" w:rsidRPr="00CA6852">
        <w:rPr>
          <w:rFonts w:eastAsia="Times New Roman"/>
        </w:rPr>
        <w:t>In March 2014 Belgium had issued a Royal Decree to establish a Marine Spatial Plan (MSP). In the MSP, the use of space in the Belgian part of the North Sea (BPNS) was established for the period 2014</w:t>
      </w:r>
      <w:r w:rsidR="001D1D05">
        <w:rPr>
          <w:rFonts w:eastAsia="Times New Roman"/>
        </w:rPr>
        <w:t xml:space="preserve"> </w:t>
      </w:r>
      <w:r w:rsidR="00D403B8" w:rsidRPr="00CA6852">
        <w:rPr>
          <w:rFonts w:eastAsia="Times New Roman"/>
        </w:rPr>
        <w:t xml:space="preserve">- 2020. The MSP defined zones for many activities and also defined nature conservation areas and provided for a number of fisheries measures. </w:t>
      </w:r>
      <w:r w:rsidR="00115470" w:rsidRPr="00CA6852">
        <w:rPr>
          <w:rFonts w:eastAsia="Times New Roman"/>
        </w:rPr>
        <w:t>The</w:t>
      </w:r>
      <w:r w:rsidR="00D403B8" w:rsidRPr="00CA6852">
        <w:rPr>
          <w:rFonts w:eastAsia="Times New Roman"/>
        </w:rPr>
        <w:t xml:space="preserve"> measures would apply</w:t>
      </w:r>
      <w:r w:rsidR="00115470" w:rsidRPr="00CA6852">
        <w:rPr>
          <w:rFonts w:eastAsia="Times New Roman"/>
        </w:rPr>
        <w:t xml:space="preserve"> </w:t>
      </w:r>
      <w:r w:rsidR="00D403B8" w:rsidRPr="00CA6852">
        <w:rPr>
          <w:rFonts w:eastAsia="Times New Roman"/>
        </w:rPr>
        <w:t>in relatively</w:t>
      </w:r>
      <w:r w:rsidR="00115470" w:rsidRPr="00CA6852">
        <w:rPr>
          <w:rFonts w:eastAsia="Times New Roman"/>
        </w:rPr>
        <w:t xml:space="preserve"> small protection </w:t>
      </w:r>
      <w:r w:rsidR="00D403B8" w:rsidRPr="00CA6852">
        <w:rPr>
          <w:rFonts w:eastAsia="Times New Roman"/>
        </w:rPr>
        <w:t>zones</w:t>
      </w:r>
      <w:r w:rsidR="00115470" w:rsidRPr="00CA6852">
        <w:rPr>
          <w:rFonts w:eastAsia="Times New Roman"/>
        </w:rPr>
        <w:t>, covering only 0.6% of the total surface of the North Sea and only 9% of the Belgian area</w:t>
      </w:r>
      <w:r w:rsidR="00DD347E" w:rsidRPr="00CA6852">
        <w:rPr>
          <w:rFonts w:eastAsia="Times New Roman"/>
        </w:rPr>
        <w:t>.</w:t>
      </w:r>
      <w:r w:rsidR="00115470" w:rsidRPr="00CA6852">
        <w:rPr>
          <w:rFonts w:eastAsia="Times New Roman"/>
        </w:rPr>
        <w:t xml:space="preserve"> There would be certain restrictions on fisheries, but the areas would not be closed to fishing. The measures would bring benefits to the marine environment on the Flemish Bank</w:t>
      </w:r>
      <w:r w:rsidR="00AC676A" w:rsidRPr="00CA6852">
        <w:rPr>
          <w:rFonts w:eastAsia="Times New Roman"/>
        </w:rPr>
        <w:t>s. They would protect those areas with the highest species richness and abundance and the fisheries measures would assist in achieving Good Environmental Status under the MSFD. Five zones had been selected to preserve sea floor integrity under Descriptor 6. Four of the zones were situated within the Natura 2000 area of the Flemish Banks and the fifth was a zone along the shoreline.</w:t>
      </w:r>
    </w:p>
    <w:p w14:paraId="105E6342" w14:textId="77777777" w:rsidR="00DD347E" w:rsidRPr="00CA6852" w:rsidRDefault="006F55F3" w:rsidP="00D403B8">
      <w:pPr>
        <w:ind w:left="567" w:hanging="567"/>
        <w:jc w:val="both"/>
        <w:rPr>
          <w:rFonts w:eastAsia="Times New Roman"/>
        </w:rPr>
      </w:pPr>
      <w:r w:rsidRPr="00CA6852">
        <w:rPr>
          <w:rFonts w:eastAsia="Times New Roman"/>
        </w:rPr>
        <w:t>3.3</w:t>
      </w:r>
      <w:r w:rsidR="00DD347E" w:rsidRPr="00CA6852">
        <w:rPr>
          <w:rFonts w:eastAsia="Times New Roman"/>
        </w:rPr>
        <w:tab/>
      </w:r>
      <w:r w:rsidR="00AC676A" w:rsidRPr="00CA6852">
        <w:rPr>
          <w:rFonts w:eastAsia="Times New Roman"/>
        </w:rPr>
        <w:t xml:space="preserve"> </w:t>
      </w:r>
      <w:r w:rsidR="00D403B8" w:rsidRPr="00CA6852">
        <w:rPr>
          <w:rFonts w:eastAsia="Times New Roman"/>
        </w:rPr>
        <w:t xml:space="preserve">Kris </w:t>
      </w:r>
      <w:r w:rsidR="00D403B8" w:rsidRPr="00CA6852">
        <w:rPr>
          <w:rFonts w:cs="Arial"/>
          <w:color w:val="000000"/>
          <w:sz w:val="23"/>
          <w:szCs w:val="23"/>
        </w:rPr>
        <w:t>Hostens described the habitats concerned. Some 20-60% of important habitats have to be assigned in Natura 2000 areas. Habitat types listed in Annexe 1 of the Habitats and Species Directive had been investigated. The designated area is characterised by the presence of a complex system of sandbanks, including biogenic reefs, and the presence of gravel beds. These sandbanks (code 1110), biogenic reefs and hard substrates (both code 1170) were the habitat types in the Belgian part of the North Sea to be protected under the Directive.</w:t>
      </w:r>
    </w:p>
    <w:p w14:paraId="10128A42" w14:textId="77777777" w:rsidR="00771F15" w:rsidRPr="00CA6852" w:rsidRDefault="006F55F3" w:rsidP="00D403B8">
      <w:pPr>
        <w:ind w:left="567" w:hanging="567"/>
        <w:jc w:val="both"/>
        <w:rPr>
          <w:rFonts w:eastAsia="Times New Roman"/>
        </w:rPr>
      </w:pPr>
      <w:r w:rsidRPr="00CA6852">
        <w:rPr>
          <w:rFonts w:eastAsia="Times New Roman"/>
        </w:rPr>
        <w:t>3.4</w:t>
      </w:r>
      <w:r w:rsidR="00771F15" w:rsidRPr="00CA6852">
        <w:rPr>
          <w:rFonts w:eastAsia="Times New Roman"/>
        </w:rPr>
        <w:tab/>
      </w:r>
      <w:r w:rsidR="00D403B8" w:rsidRPr="00CA6852">
        <w:rPr>
          <w:rFonts w:eastAsia="Times New Roman"/>
        </w:rPr>
        <w:t>Four biotypes had been identified in the sandbank habitat, each connected to a specific</w:t>
      </w:r>
      <w:r w:rsidR="00F7586B" w:rsidRPr="00CA6852">
        <w:rPr>
          <w:rFonts w:eastAsia="Times New Roman"/>
        </w:rPr>
        <w:t xml:space="preserve"> </w:t>
      </w:r>
      <w:r w:rsidR="00D403B8" w:rsidRPr="00CA6852">
        <w:rPr>
          <w:rFonts w:eastAsia="Times New Roman"/>
        </w:rPr>
        <w:t xml:space="preserve">substrate: the </w:t>
      </w:r>
      <w:r w:rsidR="00D403B8" w:rsidRPr="00CA6852">
        <w:rPr>
          <w:rFonts w:eastAsia="Times New Roman"/>
          <w:i/>
        </w:rPr>
        <w:t>Macoma balthica</w:t>
      </w:r>
      <w:r w:rsidR="00D403B8" w:rsidRPr="00CA6852">
        <w:rPr>
          <w:rFonts w:eastAsia="Times New Roman"/>
        </w:rPr>
        <w:t xml:space="preserve"> </w:t>
      </w:r>
      <w:r w:rsidR="00380EAC">
        <w:rPr>
          <w:rFonts w:eastAsia="Times New Roman"/>
        </w:rPr>
        <w:t xml:space="preserve">(bivalve mollusc) </w:t>
      </w:r>
      <w:r w:rsidR="00D403B8" w:rsidRPr="00CA6852">
        <w:rPr>
          <w:rFonts w:eastAsia="Times New Roman"/>
        </w:rPr>
        <w:t xml:space="preserve">community, the </w:t>
      </w:r>
      <w:r w:rsidR="00D403B8" w:rsidRPr="00CA6852">
        <w:rPr>
          <w:rFonts w:eastAsia="Times New Roman"/>
          <w:i/>
        </w:rPr>
        <w:t xml:space="preserve">Abra alba </w:t>
      </w:r>
      <w:r w:rsidR="00380EAC" w:rsidRPr="00380EAC">
        <w:rPr>
          <w:rFonts w:eastAsia="Times New Roman"/>
        </w:rPr>
        <w:t xml:space="preserve">(bivalve) </w:t>
      </w:r>
      <w:r w:rsidR="00D403B8" w:rsidRPr="00CA6852">
        <w:rPr>
          <w:rFonts w:eastAsia="Times New Roman"/>
        </w:rPr>
        <w:t xml:space="preserve">community, the </w:t>
      </w:r>
      <w:r w:rsidR="00D403B8" w:rsidRPr="00CA6852">
        <w:rPr>
          <w:rFonts w:eastAsia="Times New Roman"/>
          <w:i/>
        </w:rPr>
        <w:t>Nephtys cirrosa</w:t>
      </w:r>
      <w:r w:rsidR="00D403B8" w:rsidRPr="00CA6852">
        <w:rPr>
          <w:rFonts w:eastAsia="Times New Roman"/>
        </w:rPr>
        <w:t xml:space="preserve"> </w:t>
      </w:r>
      <w:r w:rsidR="00380EAC">
        <w:rPr>
          <w:rFonts w:eastAsia="Times New Roman"/>
        </w:rPr>
        <w:t>(polychaete</w:t>
      </w:r>
      <w:r w:rsidR="00E160B4">
        <w:rPr>
          <w:rFonts w:eastAsia="Times New Roman"/>
        </w:rPr>
        <w:t xml:space="preserve"> worm</w:t>
      </w:r>
      <w:r w:rsidR="00380EAC">
        <w:rPr>
          <w:rFonts w:eastAsia="Times New Roman"/>
        </w:rPr>
        <w:t xml:space="preserve">) </w:t>
      </w:r>
      <w:r w:rsidR="00D403B8" w:rsidRPr="00CA6852">
        <w:rPr>
          <w:rFonts w:eastAsia="Times New Roman"/>
        </w:rPr>
        <w:t>community</w:t>
      </w:r>
      <w:r w:rsidR="00F7586B" w:rsidRPr="00CA6852">
        <w:rPr>
          <w:rFonts w:eastAsia="Times New Roman"/>
        </w:rPr>
        <w:t xml:space="preserve">, and the </w:t>
      </w:r>
      <w:r w:rsidR="00F7586B" w:rsidRPr="00CA6852">
        <w:rPr>
          <w:rFonts w:eastAsia="Times New Roman"/>
          <w:i/>
        </w:rPr>
        <w:t>Ophelia borealis</w:t>
      </w:r>
      <w:r w:rsidR="00F7586B" w:rsidRPr="00CA6852">
        <w:rPr>
          <w:rFonts w:eastAsia="Times New Roman"/>
        </w:rPr>
        <w:t xml:space="preserve"> </w:t>
      </w:r>
      <w:r w:rsidR="00E160B4">
        <w:rPr>
          <w:rFonts w:eastAsia="Times New Roman"/>
        </w:rPr>
        <w:t xml:space="preserve">(polychaete) </w:t>
      </w:r>
      <w:r w:rsidR="00F7586B" w:rsidRPr="00CA6852">
        <w:rPr>
          <w:rFonts w:eastAsia="Times New Roman"/>
        </w:rPr>
        <w:t>community</w:t>
      </w:r>
      <w:r w:rsidR="00A07D22" w:rsidRPr="00CA6852">
        <w:rPr>
          <w:rFonts w:eastAsia="Times New Roman"/>
        </w:rPr>
        <w:t xml:space="preserve">. </w:t>
      </w:r>
      <w:r w:rsidR="00AA0808" w:rsidRPr="00CA6852">
        <w:rPr>
          <w:rFonts w:eastAsia="Times New Roman"/>
        </w:rPr>
        <w:t>A</w:t>
      </w:r>
      <w:r w:rsidR="00A07D22" w:rsidRPr="00CA6852">
        <w:rPr>
          <w:rFonts w:eastAsia="Times New Roman"/>
        </w:rPr>
        <w:t xml:space="preserve">bundance and species richness were investigated and it appeared that the </w:t>
      </w:r>
      <w:r w:rsidR="00A07D22" w:rsidRPr="00CA6852">
        <w:rPr>
          <w:rFonts w:eastAsia="Times New Roman"/>
          <w:i/>
        </w:rPr>
        <w:t>Abra</w:t>
      </w:r>
      <w:r w:rsidR="00A07D22" w:rsidRPr="00CA6852">
        <w:rPr>
          <w:rFonts w:eastAsia="Times New Roman"/>
        </w:rPr>
        <w:t xml:space="preserve"> communities formed especially important biotopes.  The </w:t>
      </w:r>
      <w:r w:rsidR="00A07D22" w:rsidRPr="00CA6852">
        <w:rPr>
          <w:rFonts w:eastAsia="Times New Roman"/>
          <w:i/>
        </w:rPr>
        <w:t>Abra</w:t>
      </w:r>
      <w:r w:rsidR="00A07D22" w:rsidRPr="00CA6852">
        <w:rPr>
          <w:rFonts w:eastAsia="Times New Roman"/>
        </w:rPr>
        <w:t xml:space="preserve"> biotope was found</w:t>
      </w:r>
      <w:r w:rsidR="002645CD" w:rsidRPr="00CA6852">
        <w:rPr>
          <w:rFonts w:eastAsia="Times New Roman"/>
        </w:rPr>
        <w:t xml:space="preserve"> mostly in coastal areas. </w:t>
      </w:r>
      <w:r w:rsidR="00E160B4">
        <w:rPr>
          <w:rFonts w:eastAsia="Times New Roman"/>
        </w:rPr>
        <w:t xml:space="preserve"> </w:t>
      </w:r>
    </w:p>
    <w:p w14:paraId="324ED10E" w14:textId="77777777" w:rsidR="00E0741E" w:rsidRPr="00CA6852" w:rsidRDefault="006F55F3" w:rsidP="002645CD">
      <w:pPr>
        <w:ind w:left="567" w:hanging="567"/>
        <w:jc w:val="both"/>
        <w:rPr>
          <w:rFonts w:eastAsia="Times New Roman"/>
        </w:rPr>
      </w:pPr>
      <w:r w:rsidRPr="00CA6852">
        <w:rPr>
          <w:rFonts w:eastAsia="Times New Roman"/>
        </w:rPr>
        <w:t>3.5</w:t>
      </w:r>
      <w:r w:rsidR="00E0741E" w:rsidRPr="00CA6852">
        <w:rPr>
          <w:rFonts w:eastAsia="Times New Roman"/>
        </w:rPr>
        <w:tab/>
      </w:r>
      <w:r w:rsidR="002645CD" w:rsidRPr="00CA6852">
        <w:rPr>
          <w:rFonts w:eastAsia="Times New Roman"/>
        </w:rPr>
        <w:t>The various sandbanks were then differentiated based on their biological values</w:t>
      </w:r>
      <w:r w:rsidR="00E160B4">
        <w:rPr>
          <w:rFonts w:eastAsia="Times New Roman"/>
        </w:rPr>
        <w:t xml:space="preserve"> and ranked according to 4 scenarios to protect, respectively, 5%, 10%, 15% and 40% of the </w:t>
      </w:r>
      <w:r w:rsidR="00E160B4">
        <w:rPr>
          <w:rFonts w:eastAsia="Times New Roman"/>
        </w:rPr>
        <w:lastRenderedPageBreak/>
        <w:t>preferential biotope</w:t>
      </w:r>
      <w:r w:rsidR="002645CD" w:rsidRPr="00CA6852">
        <w:rPr>
          <w:rFonts w:eastAsia="Times New Roman"/>
        </w:rPr>
        <w:t>.</w:t>
      </w:r>
      <w:r w:rsidRPr="00CA6852">
        <w:rPr>
          <w:rFonts w:eastAsia="Times New Roman"/>
        </w:rPr>
        <w:t xml:space="preserve"> </w:t>
      </w:r>
      <w:r w:rsidR="002645CD" w:rsidRPr="00CA6852">
        <w:rPr>
          <w:rFonts w:eastAsia="Times New Roman"/>
        </w:rPr>
        <w:t>Another analysis was based on the identification of biogenic reefs where the sand mason worm (</w:t>
      </w:r>
      <w:r w:rsidR="002645CD" w:rsidRPr="00CA6852">
        <w:rPr>
          <w:rFonts w:eastAsia="Times New Roman"/>
          <w:i/>
        </w:rPr>
        <w:t>Lanice conchilega</w:t>
      </w:r>
      <w:r w:rsidR="002645CD" w:rsidRPr="00CA6852">
        <w:rPr>
          <w:rFonts w:eastAsia="Times New Roman"/>
        </w:rPr>
        <w:t xml:space="preserve">) was aggregated. </w:t>
      </w:r>
      <w:r w:rsidR="009618BF">
        <w:rPr>
          <w:rFonts w:eastAsia="Times New Roman"/>
        </w:rPr>
        <w:t>T</w:t>
      </w:r>
      <w:r w:rsidR="002645CD" w:rsidRPr="00CA6852">
        <w:rPr>
          <w:rFonts w:eastAsia="Times New Roman"/>
        </w:rPr>
        <w:t xml:space="preserve">wo candidate sites were investigated and the areas mapped. There was some overlap between the </w:t>
      </w:r>
      <w:r w:rsidR="002645CD" w:rsidRPr="00CA6852">
        <w:rPr>
          <w:rFonts w:eastAsia="Times New Roman"/>
          <w:i/>
        </w:rPr>
        <w:t>Lanice</w:t>
      </w:r>
      <w:r w:rsidR="002645CD" w:rsidRPr="00CA6852">
        <w:rPr>
          <w:rFonts w:eastAsia="Times New Roman"/>
        </w:rPr>
        <w:t xml:space="preserve"> and </w:t>
      </w:r>
      <w:r w:rsidR="002645CD" w:rsidRPr="00CA6852">
        <w:rPr>
          <w:rFonts w:eastAsia="Times New Roman"/>
          <w:i/>
        </w:rPr>
        <w:t>Abra</w:t>
      </w:r>
      <w:r w:rsidR="002645CD" w:rsidRPr="00CA6852">
        <w:rPr>
          <w:rFonts w:eastAsia="Times New Roman"/>
        </w:rPr>
        <w:t xml:space="preserve"> communities. Together with gravel beds these </w:t>
      </w:r>
      <w:r w:rsidR="002645CD" w:rsidRPr="00CA6852">
        <w:rPr>
          <w:rFonts w:eastAsia="Times New Roman"/>
          <w:i/>
        </w:rPr>
        <w:t>Lanice</w:t>
      </w:r>
      <w:r w:rsidR="002645CD" w:rsidRPr="00CA6852">
        <w:rPr>
          <w:rFonts w:eastAsia="Times New Roman"/>
        </w:rPr>
        <w:t xml:space="preserve"> aggregations were hotspots of benthic biodiversity. Gravel beds were also mapped. They included a rich flora and fauna with a high species richness of both infauna and epifauna on the </w:t>
      </w:r>
      <w:r w:rsidR="00AA0808" w:rsidRPr="00CA6852">
        <w:rPr>
          <w:rFonts w:eastAsia="Times New Roman"/>
        </w:rPr>
        <w:t>stones</w:t>
      </w:r>
      <w:r w:rsidR="002645CD" w:rsidRPr="00CA6852">
        <w:rPr>
          <w:rFonts w:eastAsia="Times New Roman"/>
        </w:rPr>
        <w:t>.</w:t>
      </w:r>
    </w:p>
    <w:p w14:paraId="14B6E014" w14:textId="77777777" w:rsidR="00035292" w:rsidRPr="00CA6852" w:rsidRDefault="006F55F3" w:rsidP="00D0203A">
      <w:pPr>
        <w:ind w:left="567" w:hanging="567"/>
        <w:jc w:val="both"/>
        <w:rPr>
          <w:rFonts w:eastAsia="Times New Roman"/>
        </w:rPr>
      </w:pPr>
      <w:r w:rsidRPr="00CA6852">
        <w:rPr>
          <w:rFonts w:eastAsia="Times New Roman"/>
        </w:rPr>
        <w:t>3.7</w:t>
      </w:r>
      <w:r w:rsidR="00035292" w:rsidRPr="00CA6852">
        <w:rPr>
          <w:rFonts w:eastAsia="Times New Roman"/>
        </w:rPr>
        <w:tab/>
      </w:r>
      <w:r w:rsidR="002645CD" w:rsidRPr="00CA6852">
        <w:rPr>
          <w:rFonts w:eastAsia="Times New Roman"/>
        </w:rPr>
        <w:t>The presence of Annexe 2 species under the Directive was also investigated. These included the bottlenose dolphin</w:t>
      </w:r>
      <w:r w:rsidR="00E160B4">
        <w:rPr>
          <w:rFonts w:eastAsia="Times New Roman"/>
        </w:rPr>
        <w:t xml:space="preserve"> (rare in the BPNS)</w:t>
      </w:r>
      <w:r w:rsidR="002645CD" w:rsidRPr="00CA6852">
        <w:rPr>
          <w:rFonts w:eastAsia="Times New Roman"/>
        </w:rPr>
        <w:t>, the harbour porpoise</w:t>
      </w:r>
      <w:r w:rsidR="00E160B4">
        <w:rPr>
          <w:rFonts w:eastAsia="Times New Roman"/>
        </w:rPr>
        <w:t xml:space="preserve"> (2% of NS population)</w:t>
      </w:r>
      <w:r w:rsidR="00AA0808" w:rsidRPr="00CA6852">
        <w:rPr>
          <w:rFonts w:eastAsia="Times New Roman"/>
        </w:rPr>
        <w:t>,</w:t>
      </w:r>
      <w:r w:rsidR="005A7BC9" w:rsidRPr="00CA6852">
        <w:rPr>
          <w:rFonts w:eastAsia="Times New Roman"/>
        </w:rPr>
        <w:t xml:space="preserve"> the common seal </w:t>
      </w:r>
      <w:r w:rsidR="00E160B4">
        <w:rPr>
          <w:rFonts w:eastAsia="Times New Roman"/>
        </w:rPr>
        <w:t xml:space="preserve">(widespread, mainly Mar-Apr) </w:t>
      </w:r>
      <w:r w:rsidR="005A7BC9" w:rsidRPr="00CA6852">
        <w:rPr>
          <w:rFonts w:eastAsia="Times New Roman"/>
        </w:rPr>
        <w:t xml:space="preserve">and </w:t>
      </w:r>
      <w:r w:rsidR="00AA0808" w:rsidRPr="00CA6852">
        <w:rPr>
          <w:rFonts w:eastAsia="Times New Roman"/>
        </w:rPr>
        <w:t xml:space="preserve">the </w:t>
      </w:r>
      <w:r w:rsidR="005A7BC9" w:rsidRPr="00CA6852">
        <w:rPr>
          <w:rFonts w:eastAsia="Times New Roman"/>
        </w:rPr>
        <w:t>grey seal</w:t>
      </w:r>
      <w:r w:rsidR="00035292" w:rsidRPr="00CA6852">
        <w:rPr>
          <w:rFonts w:eastAsia="Times New Roman"/>
        </w:rPr>
        <w:t>.</w:t>
      </w:r>
      <w:r w:rsidR="005A7BC9" w:rsidRPr="00CA6852">
        <w:rPr>
          <w:rFonts w:eastAsia="Times New Roman"/>
        </w:rPr>
        <w:t xml:space="preserve"> Available information was gathered from recent observations of dolphins, and data </w:t>
      </w:r>
      <w:r w:rsidR="00AA0808" w:rsidRPr="00CA6852">
        <w:rPr>
          <w:rFonts w:eastAsia="Times New Roman"/>
        </w:rPr>
        <w:t xml:space="preserve">taken </w:t>
      </w:r>
      <w:r w:rsidR="005A7BC9" w:rsidRPr="00CA6852">
        <w:rPr>
          <w:rFonts w:eastAsia="Times New Roman"/>
        </w:rPr>
        <w:t xml:space="preserve">from a survey </w:t>
      </w:r>
      <w:r w:rsidR="00AA0808" w:rsidRPr="00CA6852">
        <w:rPr>
          <w:rFonts w:eastAsia="Times New Roman"/>
        </w:rPr>
        <w:t>of the</w:t>
      </w:r>
      <w:r w:rsidR="005A7BC9" w:rsidRPr="00CA6852">
        <w:rPr>
          <w:rFonts w:eastAsia="Times New Roman"/>
        </w:rPr>
        <w:t xml:space="preserve"> harbour porpoise. Some observations had been made on common seals, but only anecdotal information was available for grey seals. None of these Annexe 2 species </w:t>
      </w:r>
      <w:r w:rsidR="00AA0808" w:rsidRPr="00CA6852">
        <w:rPr>
          <w:rFonts w:eastAsia="Times New Roman"/>
        </w:rPr>
        <w:t>were</w:t>
      </w:r>
      <w:r w:rsidR="005A7BC9" w:rsidRPr="00CA6852">
        <w:rPr>
          <w:rFonts w:eastAsia="Times New Roman"/>
        </w:rPr>
        <w:t xml:space="preserve"> concentrated in particular areas. Other species taken into consideration were the lampreys, shads and sturgeon. Data were only available for the river lamprey and twaite shad and it was impossible to identify areas of concentration</w:t>
      </w:r>
      <w:r w:rsidR="009618BF">
        <w:rPr>
          <w:rFonts w:eastAsia="Times New Roman"/>
        </w:rPr>
        <w:t xml:space="preserve"> and take site-specific conservation measures</w:t>
      </w:r>
      <w:r w:rsidR="005A7BC9" w:rsidRPr="00CA6852">
        <w:rPr>
          <w:rFonts w:eastAsia="Times New Roman"/>
        </w:rPr>
        <w:t xml:space="preserve">, but the importance of the coastal area for migratory fishes had been recognised. </w:t>
      </w:r>
      <w:r w:rsidR="000D0F8D">
        <w:rPr>
          <w:rFonts w:eastAsia="Times New Roman"/>
        </w:rPr>
        <w:t>Because it was impossible to take site-specific conservation measures for these fish species or the mammals in the BPNS, the delineation of the Flemish Banks was based only on Annexe 1 habitat types (1110, 1170).</w:t>
      </w:r>
    </w:p>
    <w:p w14:paraId="46BF1883" w14:textId="77777777" w:rsidR="001F4F27" w:rsidRPr="00CA6852" w:rsidRDefault="006F55F3" w:rsidP="00D0203A">
      <w:pPr>
        <w:ind w:left="567" w:hanging="567"/>
        <w:jc w:val="both"/>
        <w:rPr>
          <w:rFonts w:eastAsia="Times New Roman"/>
        </w:rPr>
      </w:pPr>
      <w:r w:rsidRPr="00CA6852">
        <w:rPr>
          <w:rFonts w:eastAsia="Times New Roman"/>
        </w:rPr>
        <w:t>3.8</w:t>
      </w:r>
      <w:r w:rsidR="00035292" w:rsidRPr="00CA6852">
        <w:rPr>
          <w:rFonts w:eastAsia="Times New Roman"/>
        </w:rPr>
        <w:tab/>
      </w:r>
      <w:r w:rsidR="005A7BC9" w:rsidRPr="00CA6852">
        <w:rPr>
          <w:rFonts w:eastAsia="Times New Roman"/>
        </w:rPr>
        <w:t xml:space="preserve">All the data were integrated, taking a </w:t>
      </w:r>
      <w:r w:rsidR="000D0F8D">
        <w:rPr>
          <w:rFonts w:eastAsia="Times New Roman"/>
        </w:rPr>
        <w:t>4</w:t>
      </w:r>
      <w:r w:rsidR="005A7BC9" w:rsidRPr="000D0F8D">
        <w:rPr>
          <w:rFonts w:eastAsia="Times New Roman"/>
        </w:rPr>
        <w:t>0%</w:t>
      </w:r>
      <w:r w:rsidR="005A7BC9" w:rsidRPr="00CA6852">
        <w:rPr>
          <w:rFonts w:eastAsia="Times New Roman"/>
        </w:rPr>
        <w:t xml:space="preserve"> </w:t>
      </w:r>
      <w:r w:rsidR="009618BF">
        <w:rPr>
          <w:rFonts w:eastAsia="Times New Roman"/>
        </w:rPr>
        <w:t>overall protection</w:t>
      </w:r>
      <w:r w:rsidR="009618BF" w:rsidRPr="00CA6852">
        <w:rPr>
          <w:rFonts w:eastAsia="Times New Roman"/>
        </w:rPr>
        <w:t xml:space="preserve"> </w:t>
      </w:r>
      <w:r w:rsidR="005A7BC9" w:rsidRPr="00CA6852">
        <w:rPr>
          <w:rFonts w:eastAsia="Times New Roman"/>
        </w:rPr>
        <w:t>criterion</w:t>
      </w:r>
      <w:r w:rsidR="000D0F8D">
        <w:rPr>
          <w:rStyle w:val="FootnoteReference"/>
          <w:rFonts w:eastAsia="Times New Roman"/>
        </w:rPr>
        <w:footnoteReference w:id="1"/>
      </w:r>
      <w:r w:rsidR="005A7BC9" w:rsidRPr="00CA6852">
        <w:rPr>
          <w:rFonts w:eastAsia="Times New Roman"/>
        </w:rPr>
        <w:t xml:space="preserve">, and simple lines were drawn to yield a box that protects all the sensitive biotypes. The area delineated protects much of the </w:t>
      </w:r>
      <w:r w:rsidR="005A7BC9" w:rsidRPr="00CA6852">
        <w:rPr>
          <w:rFonts w:eastAsia="Times New Roman"/>
          <w:i/>
        </w:rPr>
        <w:t>Abra</w:t>
      </w:r>
      <w:r w:rsidR="005A7BC9" w:rsidRPr="00CA6852">
        <w:rPr>
          <w:rFonts w:eastAsia="Times New Roman"/>
        </w:rPr>
        <w:t xml:space="preserve"> community and some areas of very high biodiversity. The </w:t>
      </w:r>
      <w:r w:rsidR="005A7BC9" w:rsidRPr="00CA6852">
        <w:rPr>
          <w:rFonts w:eastAsia="Times New Roman"/>
          <w:i/>
        </w:rPr>
        <w:t>Macoma</w:t>
      </w:r>
      <w:r w:rsidR="005A7BC9" w:rsidRPr="00CA6852">
        <w:rPr>
          <w:rFonts w:eastAsia="Times New Roman"/>
        </w:rPr>
        <w:t xml:space="preserve"> community is not so well protected</w:t>
      </w:r>
      <w:r w:rsidR="009618BF">
        <w:rPr>
          <w:rFonts w:eastAsia="Times New Roman"/>
        </w:rPr>
        <w:t xml:space="preserve"> though the main part was</w:t>
      </w:r>
      <w:r w:rsidR="005A7BC9" w:rsidRPr="00CA6852">
        <w:rPr>
          <w:rFonts w:eastAsia="Times New Roman"/>
        </w:rPr>
        <w:t>. The selected Natura 2000 area was sent as advice to the Ministry, and the area was adopted as part of the MSP.</w:t>
      </w:r>
    </w:p>
    <w:p w14:paraId="2C1C2ABD" w14:textId="77777777" w:rsidR="00035292" w:rsidRPr="00CA6852" w:rsidRDefault="006F55F3" w:rsidP="00D0203A">
      <w:pPr>
        <w:ind w:left="567" w:hanging="567"/>
        <w:jc w:val="both"/>
        <w:rPr>
          <w:rFonts w:cs="Arial"/>
          <w:color w:val="000000"/>
          <w:sz w:val="23"/>
          <w:szCs w:val="23"/>
        </w:rPr>
      </w:pPr>
      <w:r w:rsidRPr="00CA6852">
        <w:rPr>
          <w:rFonts w:eastAsia="Times New Roman"/>
        </w:rPr>
        <w:t>3.9</w:t>
      </w:r>
      <w:r w:rsidR="001F4F27" w:rsidRPr="00CA6852">
        <w:rPr>
          <w:rFonts w:eastAsia="Times New Roman"/>
        </w:rPr>
        <w:tab/>
      </w:r>
      <w:r w:rsidR="00457C15" w:rsidRPr="00CA6852">
        <w:rPr>
          <w:rFonts w:eastAsia="Times New Roman"/>
        </w:rPr>
        <w:t xml:space="preserve">At the end of the presentation by Kris, Pim Visser commented that all </w:t>
      </w:r>
      <w:r w:rsidR="009618BF">
        <w:rPr>
          <w:rFonts w:eastAsia="Times New Roman"/>
        </w:rPr>
        <w:t xml:space="preserve">national </w:t>
      </w:r>
      <w:r w:rsidR="00457C15" w:rsidRPr="00CA6852">
        <w:rPr>
          <w:rFonts w:eastAsia="Times New Roman"/>
        </w:rPr>
        <w:t>agencies started with identifying protected habitats and species but then adopted different definitions and percentages to delineate the areas. There was little contact between different countries on this. A more unified approach would be helpful</w:t>
      </w:r>
      <w:r w:rsidR="001F4F27" w:rsidRPr="00CA6852">
        <w:rPr>
          <w:rFonts w:eastAsia="Times New Roman"/>
        </w:rPr>
        <w:t>.</w:t>
      </w:r>
      <w:r w:rsidR="00457C15" w:rsidRPr="00CA6852">
        <w:rPr>
          <w:rFonts w:eastAsia="Times New Roman"/>
        </w:rPr>
        <w:t xml:space="preserve"> Michael </w:t>
      </w:r>
      <w:r w:rsidR="00457C15" w:rsidRPr="00CA6852">
        <w:rPr>
          <w:rFonts w:cs="Arial"/>
          <w:color w:val="000000"/>
          <w:sz w:val="23"/>
          <w:szCs w:val="23"/>
        </w:rPr>
        <w:t>Kyramarios remarked that each country puts forward its proposals and the Commission then takes the decision</w:t>
      </w:r>
      <w:r w:rsidR="009618BF">
        <w:rPr>
          <w:rFonts w:cs="Arial"/>
          <w:color w:val="000000"/>
          <w:sz w:val="23"/>
          <w:szCs w:val="23"/>
        </w:rPr>
        <w:t xml:space="preserve"> </w:t>
      </w:r>
      <w:r w:rsidR="007E2EFF">
        <w:rPr>
          <w:rFonts w:cs="Arial"/>
          <w:color w:val="000000"/>
          <w:sz w:val="23"/>
          <w:szCs w:val="23"/>
        </w:rPr>
        <w:t>on the n</w:t>
      </w:r>
      <w:r w:rsidR="009618BF">
        <w:rPr>
          <w:rFonts w:cs="Arial"/>
          <w:color w:val="000000"/>
          <w:sz w:val="23"/>
          <w:szCs w:val="23"/>
        </w:rPr>
        <w:t>ormalisation (achieved at their biogeographic seminar) of the proposed protection under the Habitat</w:t>
      </w:r>
      <w:r w:rsidR="007E2EFF">
        <w:rPr>
          <w:rFonts w:cs="Arial"/>
          <w:color w:val="000000"/>
          <w:sz w:val="23"/>
          <w:szCs w:val="23"/>
        </w:rPr>
        <w:t>s</w:t>
      </w:r>
      <w:r w:rsidR="009618BF">
        <w:rPr>
          <w:rFonts w:cs="Arial"/>
          <w:color w:val="000000"/>
          <w:sz w:val="23"/>
          <w:szCs w:val="23"/>
        </w:rPr>
        <w:t xml:space="preserve"> Directive</w:t>
      </w:r>
      <w:r w:rsidR="00457C15" w:rsidRPr="00CA6852">
        <w:rPr>
          <w:rFonts w:cs="Arial"/>
          <w:color w:val="000000"/>
          <w:sz w:val="23"/>
          <w:szCs w:val="23"/>
        </w:rPr>
        <w:t>. That does achieve some unification. Pim Visser disagreed. The implementation rules are not really unified. Different countries have different approaches to benthic habitats because they have different percentages of these in their waters.</w:t>
      </w:r>
    </w:p>
    <w:p w14:paraId="4FA063A2" w14:textId="77777777" w:rsidR="00457C15" w:rsidRPr="00CA6852" w:rsidRDefault="00457C15" w:rsidP="00D0203A">
      <w:pPr>
        <w:ind w:left="567" w:hanging="567"/>
        <w:jc w:val="both"/>
        <w:rPr>
          <w:rFonts w:eastAsia="Times New Roman"/>
        </w:rPr>
      </w:pPr>
      <w:r w:rsidRPr="00CA6852">
        <w:rPr>
          <w:rFonts w:cs="Arial"/>
          <w:color w:val="000000"/>
          <w:sz w:val="23"/>
          <w:szCs w:val="23"/>
        </w:rPr>
        <w:t>3.10</w:t>
      </w:r>
      <w:r w:rsidRPr="00CA6852">
        <w:rPr>
          <w:rFonts w:cs="Arial"/>
          <w:color w:val="000000"/>
          <w:sz w:val="23"/>
          <w:szCs w:val="23"/>
        </w:rPr>
        <w:tab/>
      </w:r>
      <w:r w:rsidRPr="00CA6852">
        <w:rPr>
          <w:rFonts w:eastAsia="Times New Roman"/>
        </w:rPr>
        <w:t>Julia Puplesyte resumed her presentation. Four zones had been chosen within the Natura 2000 area of the Flemish Banks</w:t>
      </w:r>
      <w:r w:rsidR="00AA0808" w:rsidRPr="00CA6852">
        <w:rPr>
          <w:rFonts w:eastAsia="Times New Roman"/>
        </w:rPr>
        <w:t xml:space="preserve"> for the adoption of fishery measures</w:t>
      </w:r>
      <w:r w:rsidRPr="00CA6852">
        <w:rPr>
          <w:rFonts w:eastAsia="Times New Roman"/>
        </w:rPr>
        <w:t xml:space="preserve">; 1 &amp; 2 were close to the coast and 3 &amp; 4 were further offshore. </w:t>
      </w:r>
      <w:r w:rsidR="00E93FC4" w:rsidRPr="00CA6852">
        <w:rPr>
          <w:rFonts w:eastAsia="Times New Roman"/>
        </w:rPr>
        <w:t>In zone 1: all existing coastal fishing activities could be continued on condition that beams with wheels (“roller shoes”) were incorporated into the fishing equipment. For shrimp fishing</w:t>
      </w:r>
      <w:r w:rsidR="00AA0808" w:rsidRPr="00CA6852">
        <w:rPr>
          <w:rFonts w:eastAsia="Times New Roman"/>
        </w:rPr>
        <w:t>,</w:t>
      </w:r>
      <w:r w:rsidR="00E93FC4" w:rsidRPr="00CA6852">
        <w:rPr>
          <w:rFonts w:eastAsia="Times New Roman"/>
        </w:rPr>
        <w:t xml:space="preserve"> a sieving net would be </w:t>
      </w:r>
      <w:r w:rsidR="00E93FC4" w:rsidRPr="00CA6852">
        <w:rPr>
          <w:rFonts w:eastAsia="Times New Roman"/>
        </w:rPr>
        <w:lastRenderedPageBreak/>
        <w:t>obligatory. Existing vessels might be replaced. New vessels would be allowed to fish in the area using non-seabed-disturbing fishing techniques.</w:t>
      </w:r>
      <w:r w:rsidR="00A16170" w:rsidRPr="00CA6852">
        <w:rPr>
          <w:rFonts w:eastAsia="Times New Roman"/>
        </w:rPr>
        <w:t xml:space="preserve"> </w:t>
      </w:r>
      <w:r w:rsidR="00E93FC4" w:rsidRPr="00CA6852">
        <w:rPr>
          <w:rFonts w:eastAsia="Times New Roman"/>
        </w:rPr>
        <w:t>In zone 2: only non-seabed-disturbing fishing techniques and testing of alternative fishing techniques would be allowed. A three-year transition period would be established during which existing fishing techniques in the area would still be allowed.</w:t>
      </w:r>
      <w:r w:rsidR="00A16170" w:rsidRPr="00CA6852">
        <w:rPr>
          <w:rFonts w:eastAsia="Times New Roman"/>
        </w:rPr>
        <w:t xml:space="preserve"> </w:t>
      </w:r>
      <w:r w:rsidR="00E93FC4" w:rsidRPr="00CA6852">
        <w:rPr>
          <w:rFonts w:eastAsia="Times New Roman"/>
        </w:rPr>
        <w:t xml:space="preserve">In zone 3: only non-seabed-disturbing fishing techniques would be allowed. In zone 4: only non-seabed-disturbing fishing techniques and testing of alternative fishing techniques would be permitted. </w:t>
      </w:r>
      <w:r w:rsidR="00A16170" w:rsidRPr="00CA6852">
        <w:rPr>
          <w:rFonts w:eastAsia="Times New Roman"/>
        </w:rPr>
        <w:t xml:space="preserve">An overview </w:t>
      </w:r>
      <w:r w:rsidR="00AA0808" w:rsidRPr="00CA6852">
        <w:rPr>
          <w:rFonts w:eastAsia="Times New Roman"/>
        </w:rPr>
        <w:t>was</w:t>
      </w:r>
      <w:r w:rsidR="00A16170" w:rsidRPr="00CA6852">
        <w:rPr>
          <w:rFonts w:eastAsia="Times New Roman"/>
        </w:rPr>
        <w:t xml:space="preserve"> given within the MSP of the main fishing methods and their seabed-disturbing effects. Adaptations that </w:t>
      </w:r>
      <w:r w:rsidR="00AA0808" w:rsidRPr="00CA6852">
        <w:rPr>
          <w:rFonts w:eastAsia="Times New Roman"/>
        </w:rPr>
        <w:t>would</w:t>
      </w:r>
      <w:r w:rsidR="00A16170" w:rsidRPr="00CA6852">
        <w:rPr>
          <w:rFonts w:eastAsia="Times New Roman"/>
        </w:rPr>
        <w:t xml:space="preserve"> reduce impacts </w:t>
      </w:r>
      <w:r w:rsidR="00AA0808" w:rsidRPr="00CA6852">
        <w:rPr>
          <w:rFonts w:eastAsia="Times New Roman"/>
        </w:rPr>
        <w:t>were</w:t>
      </w:r>
      <w:r w:rsidR="00A16170" w:rsidRPr="00CA6852">
        <w:rPr>
          <w:rFonts w:eastAsia="Times New Roman"/>
        </w:rPr>
        <w:t xml:space="preserve"> identified.</w:t>
      </w:r>
    </w:p>
    <w:p w14:paraId="571B28EC" w14:textId="77777777" w:rsidR="00A16170" w:rsidRPr="00CA6852" w:rsidRDefault="00A16170" w:rsidP="00D0203A">
      <w:pPr>
        <w:ind w:left="567" w:hanging="567"/>
        <w:jc w:val="both"/>
        <w:rPr>
          <w:rFonts w:eastAsia="Times New Roman"/>
        </w:rPr>
      </w:pPr>
      <w:r w:rsidRPr="00CA6852">
        <w:rPr>
          <w:rFonts w:eastAsia="Times New Roman"/>
        </w:rPr>
        <w:t>3.11</w:t>
      </w:r>
      <w:r w:rsidRPr="00CA6852">
        <w:rPr>
          <w:rFonts w:eastAsia="Times New Roman"/>
        </w:rPr>
        <w:tab/>
        <w:t xml:space="preserve">There is </w:t>
      </w:r>
      <w:r w:rsidR="00AA0808" w:rsidRPr="00CA6852">
        <w:rPr>
          <w:rFonts w:eastAsia="Times New Roman"/>
        </w:rPr>
        <w:t xml:space="preserve">also </w:t>
      </w:r>
      <w:r w:rsidRPr="00CA6852">
        <w:rPr>
          <w:rFonts w:eastAsia="Times New Roman"/>
        </w:rPr>
        <w:t>a 5</w:t>
      </w:r>
      <w:r w:rsidRPr="00CA6852">
        <w:rPr>
          <w:rFonts w:eastAsia="Times New Roman"/>
          <w:vertAlign w:val="superscript"/>
        </w:rPr>
        <w:t>th</w:t>
      </w:r>
      <w:r w:rsidRPr="00CA6852">
        <w:rPr>
          <w:rFonts w:eastAsia="Times New Roman"/>
        </w:rPr>
        <w:t xml:space="preserve"> zone</w:t>
      </w:r>
      <w:r w:rsidR="00AA0808" w:rsidRPr="00CA6852">
        <w:rPr>
          <w:rFonts w:eastAsia="Times New Roman"/>
        </w:rPr>
        <w:t>,</w:t>
      </w:r>
      <w:r w:rsidRPr="00CA6852">
        <w:rPr>
          <w:rFonts w:eastAsia="Times New Roman"/>
        </w:rPr>
        <w:t xml:space="preserve"> </w:t>
      </w:r>
      <w:r w:rsidR="00AA0808" w:rsidRPr="00CA6852">
        <w:rPr>
          <w:rFonts w:eastAsia="Times New Roman"/>
        </w:rPr>
        <w:t>an</w:t>
      </w:r>
      <w:r w:rsidRPr="00CA6852">
        <w:rPr>
          <w:rFonts w:eastAsia="Times New Roman"/>
        </w:rPr>
        <w:t xml:space="preserve"> area along the shoreline.</w:t>
      </w:r>
      <w:r w:rsidR="00E93FC4" w:rsidRPr="00CA6852">
        <w:rPr>
          <w:rFonts w:eastAsia="Times New Roman"/>
        </w:rPr>
        <w:t xml:space="preserve"> In this coastal zone: fishing is prohibited for fishing vessels having a gross tonnage of more than 70</w:t>
      </w:r>
      <w:r w:rsidR="00AA0808" w:rsidRPr="00CA6852">
        <w:rPr>
          <w:rFonts w:eastAsia="Times New Roman"/>
        </w:rPr>
        <w:t>grt</w:t>
      </w:r>
      <w:r w:rsidR="00E93FC4" w:rsidRPr="00CA6852">
        <w:rPr>
          <w:rFonts w:eastAsia="Times New Roman"/>
        </w:rPr>
        <w:t>. This is an existing measure, which only allows the smaller coastal fleet to operate in the area.</w:t>
      </w:r>
    </w:p>
    <w:p w14:paraId="47FDD53A" w14:textId="77777777" w:rsidR="00E93FC4" w:rsidRPr="00CA6852" w:rsidRDefault="00E93FC4" w:rsidP="00D0203A">
      <w:pPr>
        <w:ind w:left="567" w:hanging="567"/>
        <w:jc w:val="both"/>
        <w:rPr>
          <w:rFonts w:eastAsia="Times New Roman"/>
        </w:rPr>
      </w:pPr>
      <w:r w:rsidRPr="00CA6852">
        <w:rPr>
          <w:rFonts w:eastAsia="Times New Roman"/>
        </w:rPr>
        <w:t>3.12</w:t>
      </w:r>
      <w:r w:rsidRPr="00CA6852">
        <w:rPr>
          <w:rFonts w:eastAsia="Times New Roman"/>
        </w:rPr>
        <w:tab/>
        <w:t xml:space="preserve">After the adoption of these proposals restrictions will apply. There is no intent to close these areas to fisheries. Only small areas have been selected to protect the most sensitive habitats. Seabed-disturbing techniques have been used in these areas in the past and there is very little data on the state of the benthos before the use of those techniques. Refugia where fishermen have not been active have been included. Currently the Belgian and Dutch fleets predominate in the area. Vessels from France, the UK and Denmark are much less active. Shrimp fishing is common and is pursued by mostly Belgian vessels and some Dutch. Beam trawling also takes place, mainly by the Dutch fleet. For the shrimp fisheries, the Flemish Banks measures will mainly affect the Belgian fleet, with coastal measures affecting both Belgian and Dutch </w:t>
      </w:r>
      <w:r w:rsidR="00AA0808" w:rsidRPr="00CA6852">
        <w:rPr>
          <w:rFonts w:eastAsia="Times New Roman"/>
        </w:rPr>
        <w:t>vessels</w:t>
      </w:r>
      <w:r w:rsidRPr="00CA6852">
        <w:rPr>
          <w:rFonts w:eastAsia="Times New Roman"/>
        </w:rPr>
        <w:t>. For the beam trawl fisheries there is minimal presence of Belgian vessels on the Flemish Banks but the Dutch fleet is active over the whole area.</w:t>
      </w:r>
    </w:p>
    <w:p w14:paraId="6FE9F6B2" w14:textId="77777777" w:rsidR="00E93FC4" w:rsidRPr="00CA6852" w:rsidRDefault="00E93FC4" w:rsidP="00D0203A">
      <w:pPr>
        <w:ind w:left="567" w:hanging="567"/>
        <w:jc w:val="both"/>
        <w:rPr>
          <w:rFonts w:eastAsia="Times New Roman"/>
        </w:rPr>
      </w:pPr>
      <w:r w:rsidRPr="00CA6852">
        <w:rPr>
          <w:rFonts w:eastAsia="Times New Roman"/>
        </w:rPr>
        <w:t>3.13</w:t>
      </w:r>
      <w:r w:rsidRPr="00CA6852">
        <w:rPr>
          <w:rFonts w:eastAsia="Times New Roman"/>
        </w:rPr>
        <w:tab/>
        <w:t>In terms of displacement</w:t>
      </w:r>
      <w:r w:rsidR="007E2EFF">
        <w:rPr>
          <w:rFonts w:eastAsia="Times New Roman"/>
        </w:rPr>
        <w:t xml:space="preserve"> of fisheries</w:t>
      </w:r>
      <w:r w:rsidRPr="00CA6852">
        <w:rPr>
          <w:rFonts w:eastAsia="Times New Roman"/>
        </w:rPr>
        <w:t xml:space="preserve">, no major </w:t>
      </w:r>
      <w:r w:rsidR="007E2EFF">
        <w:rPr>
          <w:rFonts w:eastAsia="Times New Roman"/>
        </w:rPr>
        <w:t xml:space="preserve">or disproportionate </w:t>
      </w:r>
      <w:r w:rsidRPr="00CA6852">
        <w:rPr>
          <w:rFonts w:eastAsia="Times New Roman"/>
        </w:rPr>
        <w:t>effects are expected as a result of these measures. There is an incentive for vessels to use techniques that are much less disturbing to the seabed. In terms of control and monitoring, current monitoring will not need to be intensified and existing means of control will be sufficient.</w:t>
      </w:r>
    </w:p>
    <w:p w14:paraId="7DAA08B1" w14:textId="77777777" w:rsidR="00E93FC4" w:rsidRPr="00CA6852" w:rsidRDefault="00E93FC4" w:rsidP="00D0203A">
      <w:pPr>
        <w:ind w:left="567" w:hanging="567"/>
        <w:jc w:val="both"/>
        <w:rPr>
          <w:rFonts w:eastAsia="Times New Roman"/>
        </w:rPr>
      </w:pPr>
      <w:r w:rsidRPr="00CA6852">
        <w:rPr>
          <w:rFonts w:eastAsia="Times New Roman"/>
        </w:rPr>
        <w:t>3.14</w:t>
      </w:r>
      <w:r w:rsidRPr="00CA6852">
        <w:rPr>
          <w:rFonts w:eastAsia="Times New Roman"/>
        </w:rPr>
        <w:tab/>
        <w:t xml:space="preserve">Public consultation is now underway on the </w:t>
      </w:r>
      <w:r w:rsidR="00AA0808" w:rsidRPr="00CA6852">
        <w:rPr>
          <w:rFonts w:eastAsia="Times New Roman"/>
        </w:rPr>
        <w:t>M</w:t>
      </w:r>
      <w:r w:rsidRPr="00CA6852">
        <w:rPr>
          <w:rFonts w:eastAsia="Times New Roman"/>
        </w:rPr>
        <w:t xml:space="preserve">arine Spatial Plan. There has been contact with Belgian stakeholders </w:t>
      </w:r>
      <w:r w:rsidR="007E2EFF">
        <w:rPr>
          <w:rFonts w:eastAsia="Times New Roman"/>
        </w:rPr>
        <w:t xml:space="preserve">since 2012 </w:t>
      </w:r>
      <w:r w:rsidRPr="00CA6852">
        <w:rPr>
          <w:rFonts w:eastAsia="Times New Roman"/>
        </w:rPr>
        <w:t xml:space="preserve">and informal contacts </w:t>
      </w:r>
      <w:r w:rsidR="00587A9E">
        <w:rPr>
          <w:rFonts w:eastAsia="Times New Roman"/>
        </w:rPr>
        <w:t xml:space="preserve">made </w:t>
      </w:r>
      <w:r w:rsidRPr="00CA6852">
        <w:rPr>
          <w:rFonts w:eastAsia="Times New Roman"/>
        </w:rPr>
        <w:t>with adjacent countries. Transboundary consultations are taking place with the Netherlands, France and the UK</w:t>
      </w:r>
      <w:r w:rsidR="008514C0" w:rsidRPr="00CA6852">
        <w:rPr>
          <w:rFonts w:eastAsia="Times New Roman"/>
        </w:rPr>
        <w:t xml:space="preserve">. Further international coordination is continuing. </w:t>
      </w:r>
      <w:r w:rsidR="007E2EFF">
        <w:rPr>
          <w:rFonts w:eastAsia="Times New Roman"/>
        </w:rPr>
        <w:t>Meetings with the Scheveningen Group took place in Apr and Sep 2015. Once the Belgian proposal is finalised, t</w:t>
      </w:r>
      <w:r w:rsidR="008514C0" w:rsidRPr="00CA6852">
        <w:rPr>
          <w:rFonts w:eastAsia="Times New Roman"/>
        </w:rPr>
        <w:t xml:space="preserve">here will be further contact with the Scheveningen group through an </w:t>
      </w:r>
      <w:r w:rsidR="008514C0" w:rsidRPr="00CA6852">
        <w:rPr>
          <w:rFonts w:eastAsia="Times New Roman"/>
          <w:i/>
        </w:rPr>
        <w:t>ad hoc</w:t>
      </w:r>
      <w:r w:rsidR="008514C0" w:rsidRPr="00CA6852">
        <w:rPr>
          <w:rFonts w:eastAsia="Times New Roman"/>
        </w:rPr>
        <w:t xml:space="preserve"> Spatial Planning Working Group.</w:t>
      </w:r>
    </w:p>
    <w:p w14:paraId="7F1C5C38" w14:textId="77777777" w:rsidR="008514C0" w:rsidRPr="00CA6852" w:rsidRDefault="008514C0" w:rsidP="00D0203A">
      <w:pPr>
        <w:ind w:left="567" w:hanging="567"/>
        <w:jc w:val="both"/>
        <w:rPr>
          <w:rFonts w:eastAsia="Times New Roman"/>
        </w:rPr>
      </w:pPr>
      <w:r w:rsidRPr="00CA6852">
        <w:rPr>
          <w:rFonts w:eastAsia="Times New Roman"/>
        </w:rPr>
        <w:t>3.15</w:t>
      </w:r>
      <w:r w:rsidRPr="00CA6852">
        <w:rPr>
          <w:rFonts w:eastAsia="Times New Roman"/>
        </w:rPr>
        <w:tab/>
        <w:t>Euan Dunn asked for clarification of the 70</w:t>
      </w:r>
      <w:r w:rsidR="009D02E7">
        <w:rPr>
          <w:rFonts w:eastAsia="Times New Roman"/>
        </w:rPr>
        <w:t>grt</w:t>
      </w:r>
      <w:r w:rsidRPr="00CA6852">
        <w:rPr>
          <w:rFonts w:eastAsia="Times New Roman"/>
        </w:rPr>
        <w:t xml:space="preserve"> limit on vessels. The measure applies to vessels of 70</w:t>
      </w:r>
      <w:r w:rsidR="009D02E7">
        <w:rPr>
          <w:rFonts w:eastAsia="Times New Roman"/>
        </w:rPr>
        <w:t>grt</w:t>
      </w:r>
      <w:r w:rsidRPr="00CA6852">
        <w:rPr>
          <w:rFonts w:eastAsia="Times New Roman"/>
        </w:rPr>
        <w:t xml:space="preserve"> or less. Vessels over 70</w:t>
      </w:r>
      <w:r w:rsidR="009D02E7">
        <w:rPr>
          <w:rFonts w:eastAsia="Times New Roman"/>
        </w:rPr>
        <w:t>grt</w:t>
      </w:r>
      <w:r w:rsidRPr="00CA6852">
        <w:rPr>
          <w:rFonts w:eastAsia="Times New Roman"/>
        </w:rPr>
        <w:t xml:space="preserve"> are excluded. Euan then asked whether there would be a societal cost/benefit analysis, as in the Netherlands. The reply was that there had been no formal analysis but there had been discussions with the fishing fleet.</w:t>
      </w:r>
    </w:p>
    <w:p w14:paraId="7E0ABC29" w14:textId="77777777" w:rsidR="008514C0" w:rsidRPr="00CA6852" w:rsidRDefault="008514C0" w:rsidP="00D0203A">
      <w:pPr>
        <w:ind w:left="567" w:hanging="567"/>
        <w:jc w:val="both"/>
        <w:rPr>
          <w:rFonts w:eastAsia="Times New Roman"/>
        </w:rPr>
      </w:pPr>
      <w:r w:rsidRPr="00CA6852">
        <w:rPr>
          <w:rFonts w:eastAsia="Times New Roman"/>
        </w:rPr>
        <w:t>3.16</w:t>
      </w:r>
      <w:r w:rsidRPr="00CA6852">
        <w:rPr>
          <w:rFonts w:eastAsia="Times New Roman"/>
        </w:rPr>
        <w:tab/>
        <w:t xml:space="preserve">Sam Stone thought that the testing of benthic friendly fishing gears was a bit vague. Would there be trials of alternative gears? The reply was that it was not yet clear what experiments would take place but there was a wish to test new gears, through a scientific approach. Well-managed experiments would be required. Sam Stone said that there </w:t>
      </w:r>
      <w:r w:rsidRPr="00CA6852">
        <w:rPr>
          <w:rFonts w:eastAsia="Times New Roman"/>
        </w:rPr>
        <w:lastRenderedPageBreak/>
        <w:t>was still uncertainty</w:t>
      </w:r>
      <w:r w:rsidR="009D02E7">
        <w:rPr>
          <w:rFonts w:eastAsia="Times New Roman"/>
        </w:rPr>
        <w:t xml:space="preserve"> and concern</w:t>
      </w:r>
      <w:r w:rsidRPr="00CA6852">
        <w:rPr>
          <w:rFonts w:eastAsia="Times New Roman"/>
        </w:rPr>
        <w:t xml:space="preserve"> about some of the gears </w:t>
      </w:r>
      <w:r w:rsidR="009D02E7">
        <w:rPr>
          <w:rFonts w:eastAsia="Times New Roman"/>
        </w:rPr>
        <w:t xml:space="preserve">(such as pulse trawl) </w:t>
      </w:r>
      <w:r w:rsidRPr="00CA6852">
        <w:rPr>
          <w:rFonts w:eastAsia="Times New Roman"/>
        </w:rPr>
        <w:t xml:space="preserve">in terms of their meeting the objectives of the MSFD. Also there was an issue over site integrity. That integrity requires connectivity between sites. Had that really been considered here? The reply </w:t>
      </w:r>
      <w:r w:rsidR="009D02E7">
        <w:rPr>
          <w:rFonts w:eastAsia="Times New Roman"/>
        </w:rPr>
        <w:t xml:space="preserve">to the first </w:t>
      </w:r>
      <w:r w:rsidRPr="00CA6852">
        <w:rPr>
          <w:rFonts w:eastAsia="Times New Roman"/>
        </w:rPr>
        <w:t xml:space="preserve">was that </w:t>
      </w:r>
      <w:r w:rsidR="009D02E7">
        <w:rPr>
          <w:rFonts w:eastAsia="Times New Roman"/>
        </w:rPr>
        <w:t xml:space="preserve">alternative gears need to be tested to see if they’re an improvement and, to the second, </w:t>
      </w:r>
      <w:r w:rsidRPr="00CA6852">
        <w:rPr>
          <w:rFonts w:eastAsia="Times New Roman"/>
        </w:rPr>
        <w:t xml:space="preserve">the most sensitive sites had been selected within what was a very small area. The sites were not necessarily connected with each other but they were very close. The </w:t>
      </w:r>
      <w:r w:rsidR="00102A38" w:rsidRPr="00CA6852">
        <w:rPr>
          <w:rFonts w:eastAsia="Times New Roman"/>
        </w:rPr>
        <w:t>fishery measures</w:t>
      </w:r>
      <w:r w:rsidRPr="00CA6852">
        <w:rPr>
          <w:rFonts w:eastAsia="Times New Roman"/>
        </w:rPr>
        <w:t xml:space="preserve"> applied over larger zones</w:t>
      </w:r>
      <w:r w:rsidR="009D02E7">
        <w:rPr>
          <w:rFonts w:eastAsia="Times New Roman"/>
        </w:rPr>
        <w:t xml:space="preserve"> so we also need to bear in mind what neighbouring Member States are doing; France has proposed a large Natura 2000 area adjacent to ours and the Dutch have done li</w:t>
      </w:r>
      <w:r w:rsidR="00587A9E">
        <w:rPr>
          <w:rFonts w:eastAsia="Times New Roman"/>
        </w:rPr>
        <w:t>k</w:t>
      </w:r>
      <w:r w:rsidR="009D02E7">
        <w:rPr>
          <w:rFonts w:eastAsia="Times New Roman"/>
        </w:rPr>
        <w:t>ewise in the eastern part</w:t>
      </w:r>
      <w:r w:rsidR="00102A38" w:rsidRPr="00CA6852">
        <w:rPr>
          <w:rFonts w:eastAsia="Times New Roman"/>
        </w:rPr>
        <w:t>.</w:t>
      </w:r>
      <w:r w:rsidR="0060441B" w:rsidRPr="00CA6852">
        <w:rPr>
          <w:rFonts w:eastAsia="Times New Roman"/>
        </w:rPr>
        <w:t xml:space="preserve"> </w:t>
      </w:r>
    </w:p>
    <w:p w14:paraId="7CE17FC8" w14:textId="77777777" w:rsidR="006050C3" w:rsidRPr="00CA6852" w:rsidRDefault="00102A38" w:rsidP="00D0203A">
      <w:pPr>
        <w:ind w:left="567" w:hanging="567"/>
        <w:jc w:val="both"/>
        <w:rPr>
          <w:rFonts w:eastAsia="Times New Roman"/>
        </w:rPr>
      </w:pPr>
      <w:r w:rsidRPr="00CA6852">
        <w:rPr>
          <w:rFonts w:eastAsia="Times New Roman"/>
        </w:rPr>
        <w:t>3.17</w:t>
      </w:r>
      <w:r w:rsidRPr="00CA6852">
        <w:rPr>
          <w:rFonts w:eastAsia="Times New Roman"/>
        </w:rPr>
        <w:tab/>
        <w:t>Pim Visser was concerned that the 70</w:t>
      </w:r>
      <w:r w:rsidR="00AA0808" w:rsidRPr="00CA6852">
        <w:rPr>
          <w:rFonts w:eastAsia="Times New Roman"/>
        </w:rPr>
        <w:t>grt</w:t>
      </w:r>
      <w:r w:rsidRPr="00CA6852">
        <w:rPr>
          <w:rFonts w:eastAsia="Times New Roman"/>
        </w:rPr>
        <w:t xml:space="preserve"> limit had been chosen to protect the smaller Belgian fleet</w:t>
      </w:r>
      <w:r w:rsidR="007D3A1E">
        <w:rPr>
          <w:rFonts w:eastAsia="Times New Roman"/>
        </w:rPr>
        <w:t xml:space="preserve"> – whether a vessel was less or greater than 70grt it was using the same gear so had the same seabed impact</w:t>
      </w:r>
      <w:r w:rsidRPr="00CA6852">
        <w:rPr>
          <w:rFonts w:eastAsia="Times New Roman"/>
        </w:rPr>
        <w:t xml:space="preserve">. These </w:t>
      </w:r>
      <w:r w:rsidR="00AA0808" w:rsidRPr="00CA6852">
        <w:rPr>
          <w:rFonts w:eastAsia="Times New Roman"/>
        </w:rPr>
        <w:t xml:space="preserve">new </w:t>
      </w:r>
      <w:r w:rsidRPr="00CA6852">
        <w:rPr>
          <w:rFonts w:eastAsia="Times New Roman"/>
        </w:rPr>
        <w:t xml:space="preserve">rules were being introduced under the MSFD to achieve Good Environmental Status but there was a lack of evidence on how defining a new coastal zone extending the earlier one was going to achieve this. The reply </w:t>
      </w:r>
      <w:r w:rsidR="007D3A1E">
        <w:rPr>
          <w:rFonts w:eastAsia="Times New Roman"/>
        </w:rPr>
        <w:t xml:space="preserve">from Jan Hostens </w:t>
      </w:r>
      <w:r w:rsidRPr="00CA6852">
        <w:rPr>
          <w:rFonts w:eastAsia="Times New Roman"/>
        </w:rPr>
        <w:t>was that the measure was originally produced to protect small-scale vessels</w:t>
      </w:r>
      <w:r w:rsidR="007D3A1E">
        <w:rPr>
          <w:rFonts w:eastAsia="Times New Roman"/>
        </w:rPr>
        <w:t xml:space="preserve"> by giving them exclusive access to the coa</w:t>
      </w:r>
      <w:r w:rsidR="00587A9E">
        <w:rPr>
          <w:rFonts w:eastAsia="Times New Roman"/>
        </w:rPr>
        <w:t>s</w:t>
      </w:r>
      <w:r w:rsidR="007D3A1E">
        <w:rPr>
          <w:rFonts w:eastAsia="Times New Roman"/>
        </w:rPr>
        <w:t>tal zone</w:t>
      </w:r>
      <w:r w:rsidRPr="00CA6852">
        <w:rPr>
          <w:rFonts w:eastAsia="Times New Roman"/>
        </w:rPr>
        <w:t xml:space="preserve">. A biological evaluation of the measure was now being carried and more data were being gathered for presentation to the Commission. Studies had shown that the coastal zone was </w:t>
      </w:r>
      <w:r w:rsidR="008360B8" w:rsidRPr="00CA6852">
        <w:rPr>
          <w:rFonts w:eastAsia="Times New Roman"/>
        </w:rPr>
        <w:t xml:space="preserve">biologically </w:t>
      </w:r>
      <w:r w:rsidRPr="00CA6852">
        <w:rPr>
          <w:rFonts w:eastAsia="Times New Roman"/>
        </w:rPr>
        <w:t xml:space="preserve">important and valuable. Within the small fleet there were different types of vessel but they all had low impact. It was important to protect the coastal zone and the 4.5 nautical mile limit had been chosen on biological grounds. </w:t>
      </w:r>
    </w:p>
    <w:p w14:paraId="71F0047A" w14:textId="77777777" w:rsidR="00102A38" w:rsidRPr="00CA6852" w:rsidRDefault="006050C3" w:rsidP="00D0203A">
      <w:pPr>
        <w:ind w:left="567" w:hanging="567"/>
        <w:jc w:val="both"/>
        <w:rPr>
          <w:rFonts w:eastAsia="Times New Roman"/>
        </w:rPr>
      </w:pPr>
      <w:r w:rsidRPr="00CA6852">
        <w:rPr>
          <w:rFonts w:eastAsia="Times New Roman"/>
        </w:rPr>
        <w:t>3.18</w:t>
      </w:r>
      <w:r w:rsidRPr="00CA6852">
        <w:rPr>
          <w:rFonts w:eastAsia="Times New Roman"/>
        </w:rPr>
        <w:tab/>
      </w:r>
      <w:r w:rsidR="00102A38" w:rsidRPr="00CA6852">
        <w:rPr>
          <w:rFonts w:eastAsia="Times New Roman"/>
        </w:rPr>
        <w:t xml:space="preserve">Pim </w:t>
      </w:r>
      <w:r w:rsidRPr="00CA6852">
        <w:rPr>
          <w:rFonts w:eastAsia="Times New Roman"/>
        </w:rPr>
        <w:t xml:space="preserve">Visser </w:t>
      </w:r>
      <w:r w:rsidR="00102A38" w:rsidRPr="00CA6852">
        <w:rPr>
          <w:rFonts w:eastAsia="Times New Roman"/>
        </w:rPr>
        <w:t xml:space="preserve">said that </w:t>
      </w:r>
      <w:r w:rsidR="007D3A1E">
        <w:rPr>
          <w:rFonts w:eastAsia="Times New Roman"/>
        </w:rPr>
        <w:t xml:space="preserve">there were hardly any vessels less than 70grt anyway and </w:t>
      </w:r>
      <w:r w:rsidR="00102A38" w:rsidRPr="00CA6852">
        <w:rPr>
          <w:rFonts w:eastAsia="Times New Roman"/>
        </w:rPr>
        <w:t xml:space="preserve">most of the </w:t>
      </w:r>
      <w:r w:rsidR="00102A38" w:rsidRPr="00CA6852">
        <w:rPr>
          <w:rFonts w:eastAsia="Times New Roman"/>
          <w:i/>
        </w:rPr>
        <w:t>Lanice</w:t>
      </w:r>
      <w:r w:rsidR="00102A38" w:rsidRPr="00CA6852">
        <w:rPr>
          <w:rFonts w:eastAsia="Times New Roman"/>
        </w:rPr>
        <w:t xml:space="preserve"> </w:t>
      </w:r>
      <w:r w:rsidRPr="00CA6852">
        <w:rPr>
          <w:rFonts w:eastAsia="Times New Roman"/>
        </w:rPr>
        <w:t xml:space="preserve">communities were within the </w:t>
      </w:r>
      <w:r w:rsidR="00261853" w:rsidRPr="00CA6852">
        <w:rPr>
          <w:rFonts w:eastAsia="Times New Roman"/>
        </w:rPr>
        <w:t>3-mile</w:t>
      </w:r>
      <w:r w:rsidRPr="00CA6852">
        <w:rPr>
          <w:rFonts w:eastAsia="Times New Roman"/>
        </w:rPr>
        <w:t xml:space="preserve"> limit. There was no scientific justification for extending the limit to 4.5 miles. This was a blatant </w:t>
      </w:r>
      <w:r w:rsidR="008360B8" w:rsidRPr="00CA6852">
        <w:rPr>
          <w:rFonts w:eastAsia="Times New Roman"/>
        </w:rPr>
        <w:t>attempt</w:t>
      </w:r>
      <w:r w:rsidRPr="00CA6852">
        <w:rPr>
          <w:rFonts w:eastAsia="Times New Roman"/>
        </w:rPr>
        <w:t xml:space="preserve"> to remove Dutch vessels</w:t>
      </w:r>
      <w:r w:rsidR="007D3A1E">
        <w:rPr>
          <w:rFonts w:eastAsia="Times New Roman"/>
        </w:rPr>
        <w:t xml:space="preserve"> and protect the small-scale Belgian fleet</w:t>
      </w:r>
      <w:r w:rsidRPr="00CA6852">
        <w:rPr>
          <w:rFonts w:eastAsia="Times New Roman"/>
        </w:rPr>
        <w:t xml:space="preserve">. </w:t>
      </w:r>
      <w:r w:rsidR="007D3A1E">
        <w:rPr>
          <w:rFonts w:eastAsia="Times New Roman"/>
        </w:rPr>
        <w:t xml:space="preserve">Jan Hostens </w:t>
      </w:r>
      <w:r w:rsidRPr="00CA6852">
        <w:rPr>
          <w:rFonts w:eastAsia="Times New Roman"/>
        </w:rPr>
        <w:t>stated that</w:t>
      </w:r>
      <w:r w:rsidR="00102A38" w:rsidRPr="00CA6852">
        <w:rPr>
          <w:rFonts w:eastAsia="Times New Roman"/>
        </w:rPr>
        <w:t xml:space="preserve"> </w:t>
      </w:r>
      <w:r w:rsidRPr="00CA6852">
        <w:rPr>
          <w:rFonts w:eastAsia="Times New Roman"/>
        </w:rPr>
        <w:t>the original measure was intended to protect small vessels that were less harmful to the coastal zone but the new zone was a</w:t>
      </w:r>
      <w:r w:rsidR="007D3A1E">
        <w:rPr>
          <w:rFonts w:eastAsia="Times New Roman"/>
        </w:rPr>
        <w:t>n</w:t>
      </w:r>
      <w:r w:rsidRPr="00CA6852">
        <w:rPr>
          <w:rFonts w:eastAsia="Times New Roman"/>
        </w:rPr>
        <w:t xml:space="preserve"> ecological measure. Further biological data could be circulated that was not in the current report.</w:t>
      </w:r>
    </w:p>
    <w:p w14:paraId="1FE8C105" w14:textId="77777777" w:rsidR="006050C3" w:rsidRPr="00CA6852" w:rsidRDefault="006050C3" w:rsidP="00D0203A">
      <w:pPr>
        <w:ind w:left="567" w:hanging="567"/>
        <w:jc w:val="both"/>
        <w:rPr>
          <w:rFonts w:eastAsia="Times New Roman"/>
        </w:rPr>
      </w:pPr>
      <w:r w:rsidRPr="00CA6852">
        <w:rPr>
          <w:rFonts w:eastAsia="Times New Roman"/>
        </w:rPr>
        <w:t>3.19</w:t>
      </w:r>
      <w:r w:rsidRPr="00CA6852">
        <w:rPr>
          <w:rFonts w:eastAsia="Times New Roman"/>
        </w:rPr>
        <w:tab/>
        <w:t xml:space="preserve">Pim Visser then asked what data were available to evaluate the relative impacts of conventional beam trawls and beam trawls with ropes and </w:t>
      </w:r>
      <w:r w:rsidR="00521EF7" w:rsidRPr="00CA6852">
        <w:rPr>
          <w:rFonts w:eastAsia="Times New Roman"/>
        </w:rPr>
        <w:t>rollers</w:t>
      </w:r>
      <w:r w:rsidRPr="00CA6852">
        <w:rPr>
          <w:rFonts w:eastAsia="Times New Roman"/>
        </w:rPr>
        <w:t>. Most of the damage from beam trawls comes from the tickler chains. Rollers do not cause significantly less damage</w:t>
      </w:r>
      <w:r w:rsidR="00521EF7" w:rsidRPr="00CA6852">
        <w:rPr>
          <w:rFonts w:eastAsia="Times New Roman"/>
        </w:rPr>
        <w:t xml:space="preserve">; they simply reduce fuel consumption. </w:t>
      </w:r>
      <w:r w:rsidR="008D67DE">
        <w:rPr>
          <w:rFonts w:eastAsia="Times New Roman"/>
        </w:rPr>
        <w:t>Marijn Rabaut replied that while the greatest impact was indeed fuel consumption, they had to reduce the impact on the benthos even though they could not remove it entirely. T</w:t>
      </w:r>
      <w:r w:rsidR="00521EF7" w:rsidRPr="00CA6852">
        <w:rPr>
          <w:rFonts w:eastAsia="Times New Roman"/>
        </w:rPr>
        <w:t>he specified gears were not ideal or perfect but fishers were being taken through a transition to less harmful gears</w:t>
      </w:r>
      <w:r w:rsidR="008D67DE">
        <w:rPr>
          <w:rFonts w:eastAsia="Times New Roman"/>
        </w:rPr>
        <w:t>, and the Belgian fishermen were much in favour of this</w:t>
      </w:r>
      <w:r w:rsidR="00521EF7" w:rsidRPr="00CA6852">
        <w:rPr>
          <w:rFonts w:eastAsia="Times New Roman"/>
        </w:rPr>
        <w:t>. Emiel Brouckaert said that there were other improvements that could be made in addition to rollers. Rollers were just given as an example. Discussions were under way on other measures to reduce seabed damage.</w:t>
      </w:r>
      <w:r w:rsidR="008D67DE">
        <w:rPr>
          <w:rFonts w:eastAsia="Times New Roman"/>
        </w:rPr>
        <w:t xml:space="preserve"> </w:t>
      </w:r>
    </w:p>
    <w:p w14:paraId="3F41AAAB" w14:textId="77777777" w:rsidR="00521EF7" w:rsidRPr="00CA6852" w:rsidRDefault="00521EF7" w:rsidP="00587A9E">
      <w:pPr>
        <w:ind w:left="567" w:hanging="567"/>
        <w:jc w:val="both"/>
        <w:rPr>
          <w:rFonts w:eastAsia="Times New Roman"/>
        </w:rPr>
      </w:pPr>
      <w:r w:rsidRPr="00CA6852">
        <w:rPr>
          <w:rFonts w:eastAsia="Times New Roman"/>
        </w:rPr>
        <w:t>3.20</w:t>
      </w:r>
      <w:r w:rsidRPr="00CA6852">
        <w:rPr>
          <w:rFonts w:eastAsia="Times New Roman"/>
        </w:rPr>
        <w:tab/>
        <w:t xml:space="preserve">Pim Visser </w:t>
      </w:r>
      <w:r w:rsidR="008D67DE">
        <w:rPr>
          <w:rFonts w:eastAsia="Times New Roman"/>
        </w:rPr>
        <w:t xml:space="preserve">asked what the link was between the royal decrees to protect fish stocks and to protect the environment.  Jan Hostens said it’s not only the fish stocks, it’s the balance with the environmental impact, hence the attention to small vessels.  Pim </w:t>
      </w:r>
      <w:r w:rsidRPr="00CA6852">
        <w:rPr>
          <w:rFonts w:eastAsia="Times New Roman"/>
        </w:rPr>
        <w:t xml:space="preserve">also raised the issue of displacement. What was the evidence for the likelihood that there would be </w:t>
      </w:r>
      <w:r w:rsidR="008D67DE">
        <w:rPr>
          <w:rFonts w:eastAsia="Times New Roman"/>
        </w:rPr>
        <w:t>‘minimal’</w:t>
      </w:r>
      <w:r w:rsidRPr="00CA6852">
        <w:rPr>
          <w:rFonts w:eastAsia="Times New Roman"/>
        </w:rPr>
        <w:t xml:space="preserve"> displacement of fishing activity? </w:t>
      </w:r>
      <w:r w:rsidR="008D67DE">
        <w:rPr>
          <w:rFonts w:eastAsia="Times New Roman"/>
        </w:rPr>
        <w:t xml:space="preserve">Jan replied </w:t>
      </w:r>
      <w:r w:rsidRPr="00CA6852">
        <w:rPr>
          <w:rFonts w:eastAsia="Times New Roman"/>
        </w:rPr>
        <w:t xml:space="preserve">that the intention of the measures </w:t>
      </w:r>
      <w:r w:rsidRPr="00CA6852">
        <w:rPr>
          <w:rFonts w:eastAsia="Times New Roman"/>
        </w:rPr>
        <w:lastRenderedPageBreak/>
        <w:t xml:space="preserve">was to reduce the impact of fishing in small areas. </w:t>
      </w:r>
      <w:r w:rsidR="008D67DE">
        <w:rPr>
          <w:rFonts w:eastAsia="Times New Roman"/>
        </w:rPr>
        <w:t xml:space="preserve">Julia Puplesyte added that </w:t>
      </w:r>
      <w:r w:rsidR="00DD7F8F">
        <w:rPr>
          <w:rFonts w:eastAsia="Times New Roman"/>
        </w:rPr>
        <w:t xml:space="preserve">their incentive was for fishermen to use alternative gears </w:t>
      </w:r>
      <w:r w:rsidRPr="00CA6852">
        <w:rPr>
          <w:rFonts w:eastAsia="Times New Roman"/>
        </w:rPr>
        <w:t>to cause less damage. Pim said that their experience was that fishermen would increase fishing intensity in adjacent areas</w:t>
      </w:r>
      <w:r w:rsidR="00DD7F8F">
        <w:rPr>
          <w:rFonts w:eastAsia="Times New Roman"/>
        </w:rPr>
        <w:t xml:space="preserve"> and just intensify the impact on those</w:t>
      </w:r>
      <w:r w:rsidRPr="00CA6852">
        <w:rPr>
          <w:rFonts w:eastAsia="Times New Roman"/>
        </w:rPr>
        <w:t>. There have to be measures to mitigate this</w:t>
      </w:r>
      <w:r w:rsidR="008360B8" w:rsidRPr="00CA6852">
        <w:rPr>
          <w:rFonts w:eastAsia="Times New Roman"/>
        </w:rPr>
        <w:t>,</w:t>
      </w:r>
      <w:r w:rsidRPr="00CA6852">
        <w:rPr>
          <w:rFonts w:eastAsia="Times New Roman"/>
        </w:rPr>
        <w:t xml:space="preserve"> </w:t>
      </w:r>
      <w:r w:rsidR="00DD7F8F">
        <w:rPr>
          <w:rFonts w:eastAsia="Times New Roman"/>
        </w:rPr>
        <w:t xml:space="preserve">otherwise </w:t>
      </w:r>
      <w:r w:rsidRPr="00CA6852">
        <w:rPr>
          <w:rFonts w:eastAsia="Times New Roman"/>
        </w:rPr>
        <w:t>the effects of displacement could be damaging. Fishermen will no</w:t>
      </w:r>
      <w:r w:rsidR="008360B8" w:rsidRPr="00CA6852">
        <w:rPr>
          <w:rFonts w:eastAsia="Times New Roman"/>
        </w:rPr>
        <w:t>t</w:t>
      </w:r>
      <w:r w:rsidRPr="00CA6852">
        <w:rPr>
          <w:rFonts w:eastAsia="Times New Roman"/>
        </w:rPr>
        <w:t xml:space="preserve"> go to other parts of the North Sea. They </w:t>
      </w:r>
      <w:r w:rsidR="008360B8" w:rsidRPr="00CA6852">
        <w:rPr>
          <w:rFonts w:eastAsia="Times New Roman"/>
        </w:rPr>
        <w:t>would</w:t>
      </w:r>
      <w:r w:rsidRPr="00CA6852">
        <w:rPr>
          <w:rFonts w:eastAsia="Times New Roman"/>
        </w:rPr>
        <w:t xml:space="preserve"> fish close to their original areas. </w:t>
      </w:r>
      <w:r w:rsidR="00AB6411">
        <w:rPr>
          <w:rFonts w:eastAsia="Times New Roman"/>
        </w:rPr>
        <w:t>In reply, it was noted that the BPNS was a very small part of the North Sea, reducing the</w:t>
      </w:r>
      <w:r w:rsidR="00587A9E">
        <w:rPr>
          <w:rFonts w:eastAsia="Times New Roman"/>
        </w:rPr>
        <w:t xml:space="preserve"> </w:t>
      </w:r>
      <w:r w:rsidR="00AB6411">
        <w:rPr>
          <w:rFonts w:eastAsia="Times New Roman"/>
        </w:rPr>
        <w:t xml:space="preserve">displacement potential. </w:t>
      </w:r>
      <w:r w:rsidR="00587A9E" w:rsidRPr="00CA6852">
        <w:rPr>
          <w:rFonts w:eastAsia="Times New Roman"/>
        </w:rPr>
        <w:t>Emi</w:t>
      </w:r>
      <w:r w:rsidR="00587A9E">
        <w:rPr>
          <w:rFonts w:eastAsia="Times New Roman"/>
        </w:rPr>
        <w:t>el</w:t>
      </w:r>
      <w:r w:rsidR="00587A9E" w:rsidRPr="00CA6852">
        <w:rPr>
          <w:rFonts w:eastAsia="Times New Roman"/>
        </w:rPr>
        <w:t xml:space="preserve"> </w:t>
      </w:r>
      <w:r w:rsidRPr="00CA6852">
        <w:rPr>
          <w:rFonts w:eastAsia="Times New Roman"/>
        </w:rPr>
        <w:t xml:space="preserve">Brouckaert </w:t>
      </w:r>
      <w:r w:rsidR="00587A9E">
        <w:rPr>
          <w:rFonts w:eastAsia="Times New Roman"/>
        </w:rPr>
        <w:t>reported</w:t>
      </w:r>
      <w:r w:rsidR="00587A9E" w:rsidRPr="00CA6852">
        <w:rPr>
          <w:rFonts w:eastAsia="Times New Roman"/>
        </w:rPr>
        <w:t xml:space="preserve"> </w:t>
      </w:r>
      <w:r w:rsidRPr="00CA6852">
        <w:rPr>
          <w:rFonts w:eastAsia="Times New Roman"/>
        </w:rPr>
        <w:t xml:space="preserve">that Belgian fishers had said </w:t>
      </w:r>
      <w:r w:rsidR="008360B8" w:rsidRPr="00CA6852">
        <w:rPr>
          <w:rFonts w:eastAsia="Times New Roman"/>
        </w:rPr>
        <w:t>that</w:t>
      </w:r>
      <w:r w:rsidRPr="00CA6852">
        <w:rPr>
          <w:rFonts w:eastAsia="Times New Roman"/>
        </w:rPr>
        <w:t xml:space="preserve"> the measures to reduce damage </w:t>
      </w:r>
      <w:r w:rsidR="008360B8" w:rsidRPr="00CA6852">
        <w:rPr>
          <w:rFonts w:eastAsia="Times New Roman"/>
        </w:rPr>
        <w:t>should be left</w:t>
      </w:r>
      <w:r w:rsidRPr="00CA6852">
        <w:rPr>
          <w:rFonts w:eastAsia="Times New Roman"/>
        </w:rPr>
        <w:t xml:space="preserve"> to the fishermen, as they know what they are doing. But this suggestion had not been followed. </w:t>
      </w:r>
      <w:r w:rsidR="008360B8" w:rsidRPr="00CA6852">
        <w:rPr>
          <w:rFonts w:eastAsia="Times New Roman"/>
        </w:rPr>
        <w:t>It would be sensible</w:t>
      </w:r>
      <w:r w:rsidRPr="00CA6852">
        <w:rPr>
          <w:rFonts w:eastAsia="Times New Roman"/>
        </w:rPr>
        <w:t xml:space="preserve"> to ask fishermen how best to reach ecological targets</w:t>
      </w:r>
      <w:r w:rsidR="00261853" w:rsidRPr="00CA6852">
        <w:rPr>
          <w:rFonts w:eastAsia="Times New Roman"/>
        </w:rPr>
        <w:t xml:space="preserve">. Pim agreed. It is very important first to set targets and then to ask fishers how these can be achieved. The UK JNCC have done that on </w:t>
      </w:r>
      <w:r w:rsidR="00587A9E">
        <w:rPr>
          <w:rFonts w:eastAsia="Times New Roman"/>
        </w:rPr>
        <w:t xml:space="preserve">the </w:t>
      </w:r>
      <w:r w:rsidR="006F666C">
        <w:rPr>
          <w:rFonts w:eastAsia="Times New Roman"/>
        </w:rPr>
        <w:t>North Norfo</w:t>
      </w:r>
      <w:r w:rsidR="00587A9E">
        <w:rPr>
          <w:rFonts w:eastAsia="Times New Roman"/>
        </w:rPr>
        <w:t>l</w:t>
      </w:r>
      <w:r w:rsidR="006F666C">
        <w:rPr>
          <w:rFonts w:eastAsia="Times New Roman"/>
        </w:rPr>
        <w:t xml:space="preserve">k Sandbanks and Haisborough SACs </w:t>
      </w:r>
      <w:r w:rsidR="00EF7387">
        <w:rPr>
          <w:rFonts w:eastAsia="Times New Roman"/>
        </w:rPr>
        <w:t xml:space="preserve">(unlike </w:t>
      </w:r>
      <w:r w:rsidR="00261853" w:rsidRPr="00CA6852">
        <w:rPr>
          <w:rFonts w:eastAsia="Times New Roman"/>
        </w:rPr>
        <w:t xml:space="preserve">the Dogger </w:t>
      </w:r>
      <w:r w:rsidR="008360B8" w:rsidRPr="00CA6852">
        <w:rPr>
          <w:rFonts w:eastAsia="Times New Roman"/>
        </w:rPr>
        <w:t>B</w:t>
      </w:r>
      <w:r w:rsidR="00261853" w:rsidRPr="00CA6852">
        <w:rPr>
          <w:rFonts w:eastAsia="Times New Roman"/>
        </w:rPr>
        <w:t>ank</w:t>
      </w:r>
      <w:r w:rsidR="00EF7387">
        <w:rPr>
          <w:rFonts w:eastAsia="Times New Roman"/>
        </w:rPr>
        <w:t>)</w:t>
      </w:r>
      <w:r w:rsidR="00261853" w:rsidRPr="00CA6852">
        <w:rPr>
          <w:rFonts w:eastAsia="Times New Roman"/>
        </w:rPr>
        <w:t>, where they have asked fishermen how to reach their goals. That approach would lead to better acceptance by fishers and better protection of the environment. Top down solutions were not as good.</w:t>
      </w:r>
    </w:p>
    <w:p w14:paraId="553D3165" w14:textId="77777777" w:rsidR="00261853" w:rsidRPr="00CA6852" w:rsidRDefault="00261853" w:rsidP="00D0203A">
      <w:pPr>
        <w:ind w:left="567" w:hanging="567"/>
        <w:jc w:val="both"/>
        <w:rPr>
          <w:rFonts w:eastAsia="Times New Roman"/>
        </w:rPr>
      </w:pPr>
      <w:r w:rsidRPr="00CA6852">
        <w:rPr>
          <w:rFonts w:eastAsia="Times New Roman"/>
        </w:rPr>
        <w:t>3.21</w:t>
      </w:r>
      <w:r w:rsidRPr="00CA6852">
        <w:rPr>
          <w:rFonts w:eastAsia="Times New Roman"/>
        </w:rPr>
        <w:tab/>
        <w:t xml:space="preserve">Christine Absil asked how a sieving net </w:t>
      </w:r>
      <w:r w:rsidR="008360B8" w:rsidRPr="00CA6852">
        <w:rPr>
          <w:rFonts w:eastAsia="Times New Roman"/>
        </w:rPr>
        <w:t xml:space="preserve">could </w:t>
      </w:r>
      <w:r w:rsidRPr="00CA6852">
        <w:rPr>
          <w:rFonts w:eastAsia="Times New Roman"/>
        </w:rPr>
        <w:t>contribute to habitat i</w:t>
      </w:r>
      <w:r w:rsidR="00EF7387">
        <w:rPr>
          <w:rFonts w:eastAsia="Times New Roman"/>
        </w:rPr>
        <w:t>ntegrity</w:t>
      </w:r>
      <w:r w:rsidRPr="00CA6852">
        <w:rPr>
          <w:rFonts w:eastAsia="Times New Roman"/>
        </w:rPr>
        <w:t xml:space="preserve">? The reply was that fishermen would be given a transition period to adapt their nets to reduce damage. </w:t>
      </w:r>
      <w:r w:rsidR="00EF7387">
        <w:rPr>
          <w:rFonts w:eastAsia="Times New Roman"/>
        </w:rPr>
        <w:t>Also the sieving net is not the same as the roller shoes</w:t>
      </w:r>
      <w:r w:rsidR="00587A9E">
        <w:rPr>
          <w:rFonts w:eastAsia="Times New Roman"/>
        </w:rPr>
        <w:t xml:space="preserve"> - </w:t>
      </w:r>
      <w:r w:rsidR="00EF7387">
        <w:rPr>
          <w:rFonts w:eastAsia="Times New Roman"/>
        </w:rPr>
        <w:t xml:space="preserve">not everyone is using it now. </w:t>
      </w:r>
      <w:r w:rsidRPr="00CA6852">
        <w:rPr>
          <w:rFonts w:eastAsia="Times New Roman"/>
        </w:rPr>
        <w:t xml:space="preserve">There was general agreement that it was better to agree with fishermen which measures were best adopted. Christine then asked how monitoring and control </w:t>
      </w:r>
      <w:r w:rsidR="008360B8" w:rsidRPr="00CA6852">
        <w:rPr>
          <w:rFonts w:eastAsia="Times New Roman"/>
        </w:rPr>
        <w:t xml:space="preserve">would </w:t>
      </w:r>
      <w:r w:rsidRPr="00CA6852">
        <w:rPr>
          <w:rFonts w:eastAsia="Times New Roman"/>
        </w:rPr>
        <w:t>take place in these small areas</w:t>
      </w:r>
      <w:r w:rsidR="00EF7387">
        <w:rPr>
          <w:rFonts w:eastAsia="Times New Roman"/>
        </w:rPr>
        <w:t xml:space="preserve"> if you don’t increase the ping rate</w:t>
      </w:r>
      <w:r w:rsidRPr="00CA6852">
        <w:rPr>
          <w:rFonts w:eastAsia="Times New Roman"/>
        </w:rPr>
        <w:t xml:space="preserve">? The reply was that higher frequency </w:t>
      </w:r>
      <w:r w:rsidR="008360B8" w:rsidRPr="00CA6852">
        <w:rPr>
          <w:rFonts w:eastAsia="Times New Roman"/>
        </w:rPr>
        <w:t xml:space="preserve">VMS </w:t>
      </w:r>
      <w:r w:rsidRPr="00CA6852">
        <w:rPr>
          <w:rFonts w:eastAsia="Times New Roman"/>
        </w:rPr>
        <w:t xml:space="preserve">systems would be necessary to </w:t>
      </w:r>
      <w:r w:rsidR="008360B8" w:rsidRPr="00CA6852">
        <w:rPr>
          <w:rFonts w:eastAsia="Times New Roman"/>
        </w:rPr>
        <w:t xml:space="preserve">locate vessels and </w:t>
      </w:r>
      <w:r w:rsidRPr="00CA6852">
        <w:rPr>
          <w:rFonts w:eastAsia="Times New Roman"/>
        </w:rPr>
        <w:t xml:space="preserve">determine whether fishing was taking place in an area. </w:t>
      </w:r>
      <w:r w:rsidR="00BD4E2C">
        <w:rPr>
          <w:rFonts w:eastAsia="Times New Roman"/>
        </w:rPr>
        <w:t xml:space="preserve">Given that the areas are small it’s easier to control with other high tech </w:t>
      </w:r>
      <w:r w:rsidR="00587A9E">
        <w:rPr>
          <w:rFonts w:eastAsia="Times New Roman"/>
        </w:rPr>
        <w:t xml:space="preserve">systems </w:t>
      </w:r>
      <w:r w:rsidR="00BD4E2C">
        <w:rPr>
          <w:rFonts w:eastAsia="Times New Roman"/>
        </w:rPr>
        <w:t xml:space="preserve">like IAS. </w:t>
      </w:r>
      <w:r w:rsidR="00DE726E" w:rsidRPr="00CA6852">
        <w:rPr>
          <w:rFonts w:eastAsia="Times New Roman"/>
        </w:rPr>
        <w:t xml:space="preserve">Sam Stone later mentioned that in the UK access to some sites is on a permit only basis and there is sometimes a requirement to have inshore VMS to improve monitoring. </w:t>
      </w:r>
      <w:r w:rsidR="00BD4E2C">
        <w:rPr>
          <w:rFonts w:eastAsia="Times New Roman"/>
        </w:rPr>
        <w:t xml:space="preserve">He completely supported industry involvement but control and monitoring needs to be external in order to reward those fishermen who do the right thing. </w:t>
      </w:r>
      <w:r w:rsidR="00DE726E" w:rsidRPr="00CA6852">
        <w:rPr>
          <w:rFonts w:eastAsia="Times New Roman"/>
        </w:rPr>
        <w:t xml:space="preserve">Pim Visser added that microVMS might provide a solution. </w:t>
      </w:r>
      <w:r w:rsidR="00B91460" w:rsidRPr="00CA6852">
        <w:rPr>
          <w:rFonts w:eastAsia="Times New Roman"/>
        </w:rPr>
        <w:t xml:space="preserve">There was a need for a common system to locate vessels. </w:t>
      </w:r>
      <w:r w:rsidR="004822CA">
        <w:rPr>
          <w:rFonts w:eastAsia="Times New Roman"/>
        </w:rPr>
        <w:t xml:space="preserve">Later, the French fishers noted that IAS is designed as a safety measure, not for control, so they were rather surprised to hear about it as a control measure. Pim Visser agreed that IAS is only for safety but other options (like microVMS) were available. But he warned our boats don’t want a multiplicity of recognition technology, we just want one system.  </w:t>
      </w:r>
      <w:r w:rsidRPr="00CA6852">
        <w:rPr>
          <w:rFonts w:eastAsia="Times New Roman"/>
        </w:rPr>
        <w:t xml:space="preserve">Christine then asked how new fishermen were to be defined. The answer was that </w:t>
      </w:r>
      <w:r w:rsidR="00EF7387">
        <w:rPr>
          <w:rFonts w:eastAsia="Times New Roman"/>
        </w:rPr>
        <w:t>the concept of new fishermen is defined in the Belgian M</w:t>
      </w:r>
      <w:r w:rsidR="00BD4E2C">
        <w:rPr>
          <w:rFonts w:eastAsia="Times New Roman"/>
        </w:rPr>
        <w:t xml:space="preserve">arine </w:t>
      </w:r>
      <w:r w:rsidR="00EF7387">
        <w:rPr>
          <w:rFonts w:eastAsia="Times New Roman"/>
        </w:rPr>
        <w:t>S</w:t>
      </w:r>
      <w:r w:rsidR="00BD4E2C">
        <w:rPr>
          <w:rFonts w:eastAsia="Times New Roman"/>
        </w:rPr>
        <w:t>patial Plan:</w:t>
      </w:r>
      <w:r w:rsidR="00EF7387">
        <w:rPr>
          <w:rFonts w:eastAsia="Times New Roman"/>
        </w:rPr>
        <w:t xml:space="preserve"> </w:t>
      </w:r>
      <w:r w:rsidRPr="00CA6852">
        <w:rPr>
          <w:rFonts w:eastAsia="Times New Roman"/>
        </w:rPr>
        <w:t>those boats that were active would be listed. Any additional boats would be new.</w:t>
      </w:r>
      <w:r w:rsidR="00EF7387">
        <w:rPr>
          <w:rFonts w:eastAsia="Times New Roman"/>
        </w:rPr>
        <w:t xml:space="preserve"> </w:t>
      </w:r>
    </w:p>
    <w:p w14:paraId="279CD047" w14:textId="77777777" w:rsidR="00261853" w:rsidRPr="00CA6852" w:rsidRDefault="0060441B" w:rsidP="00D0203A">
      <w:pPr>
        <w:ind w:left="567" w:hanging="567"/>
        <w:jc w:val="both"/>
        <w:rPr>
          <w:rFonts w:eastAsia="Times New Roman"/>
        </w:rPr>
      </w:pPr>
      <w:r w:rsidRPr="00CA6852">
        <w:rPr>
          <w:rFonts w:eastAsia="Times New Roman"/>
        </w:rPr>
        <w:t>3.22</w:t>
      </w:r>
      <w:r w:rsidRPr="00CA6852">
        <w:rPr>
          <w:rFonts w:eastAsia="Times New Roman"/>
        </w:rPr>
        <w:tab/>
        <w:t>Heather Hamilton asked what the science was behind the decision that roller shoes were less damaging. When would this cease being a transitional measure and what other measures might be adopted within the Natura 2000 area</w:t>
      </w:r>
      <w:r w:rsidR="008360B8" w:rsidRPr="00CA6852">
        <w:rPr>
          <w:rFonts w:eastAsia="Times New Roman"/>
        </w:rPr>
        <w:t>?</w:t>
      </w:r>
      <w:r w:rsidRPr="00CA6852">
        <w:rPr>
          <w:rFonts w:eastAsia="Times New Roman"/>
        </w:rPr>
        <w:t xml:space="preserve"> The reply was that the transition period would allow these gears </w:t>
      </w:r>
      <w:r w:rsidR="00BD4E2C">
        <w:rPr>
          <w:rFonts w:eastAsia="Times New Roman"/>
        </w:rPr>
        <w:t xml:space="preserve">(roller shoes) </w:t>
      </w:r>
      <w:r w:rsidRPr="00CA6852">
        <w:rPr>
          <w:rFonts w:eastAsia="Times New Roman"/>
        </w:rPr>
        <w:t>to be used while their impact was assessed. Other less damaging options would also be sought. Their introduction would start to reduce the damage.</w:t>
      </w:r>
      <w:r w:rsidR="00BD4E2C">
        <w:rPr>
          <w:rFonts w:eastAsia="Times New Roman"/>
        </w:rPr>
        <w:t xml:space="preserve"> The alternative was to allow regular beam-trawling activity which would lead to higher impact. Heather also asked what percentage of these sites would be protected within the 4 zones.  Julia Puplesyte replied that 9% of the 4 zones and coastal zone are protected. </w:t>
      </w:r>
    </w:p>
    <w:p w14:paraId="45EEEC70" w14:textId="77777777" w:rsidR="0060441B" w:rsidRPr="00CA6852" w:rsidRDefault="0060441B" w:rsidP="0060441B">
      <w:pPr>
        <w:ind w:left="567" w:hanging="567"/>
        <w:jc w:val="both"/>
        <w:rPr>
          <w:rFonts w:eastAsia="Times New Roman"/>
        </w:rPr>
      </w:pPr>
      <w:r w:rsidRPr="00CA6852">
        <w:rPr>
          <w:rFonts w:eastAsia="Times New Roman"/>
        </w:rPr>
        <w:lastRenderedPageBreak/>
        <w:t>3.23</w:t>
      </w:r>
      <w:r w:rsidRPr="00CA6852">
        <w:rPr>
          <w:rFonts w:eastAsia="Times New Roman"/>
        </w:rPr>
        <w:tab/>
        <w:t xml:space="preserve">The effects of human activities other than fisheries on the environment were also mentioned in the report. Those activities that were not prohibited in principle were subject to applicable permit and licensing regulations and involved environmental impact assessments so that their effects could be evaluated. </w:t>
      </w:r>
      <w:r w:rsidR="00BD4E2C">
        <w:rPr>
          <w:rFonts w:eastAsia="Times New Roman"/>
        </w:rPr>
        <w:t xml:space="preserve">Sand extraction is a major activity, with annual quotas allocated for each zone. </w:t>
      </w:r>
      <w:r w:rsidRPr="00CA6852">
        <w:rPr>
          <w:rFonts w:eastAsia="Times New Roman"/>
        </w:rPr>
        <w:t xml:space="preserve">Sport and recreational </w:t>
      </w:r>
      <w:r w:rsidR="008360B8" w:rsidRPr="00CA6852">
        <w:rPr>
          <w:rFonts w:eastAsia="Times New Roman"/>
        </w:rPr>
        <w:t>fisheries</w:t>
      </w:r>
      <w:r w:rsidRPr="00CA6852">
        <w:rPr>
          <w:rFonts w:eastAsia="Times New Roman"/>
        </w:rPr>
        <w:t xml:space="preserve"> in the area </w:t>
      </w:r>
      <w:r w:rsidR="00DE726E" w:rsidRPr="00CA6852">
        <w:rPr>
          <w:rFonts w:eastAsia="Times New Roman"/>
        </w:rPr>
        <w:t>would</w:t>
      </w:r>
      <w:r w:rsidRPr="00CA6852">
        <w:rPr>
          <w:rFonts w:eastAsia="Times New Roman"/>
        </w:rPr>
        <w:t xml:space="preserve"> also </w:t>
      </w:r>
      <w:r w:rsidR="00DE726E" w:rsidRPr="00CA6852">
        <w:rPr>
          <w:rFonts w:eastAsia="Times New Roman"/>
        </w:rPr>
        <w:t>be</w:t>
      </w:r>
      <w:r w:rsidRPr="00CA6852">
        <w:rPr>
          <w:rFonts w:eastAsia="Times New Roman"/>
        </w:rPr>
        <w:t xml:space="preserve"> reduced</w:t>
      </w:r>
      <w:r w:rsidR="00DE726E" w:rsidRPr="00CA6852">
        <w:rPr>
          <w:rFonts w:eastAsia="Times New Roman"/>
        </w:rPr>
        <w:t xml:space="preserve"> if </w:t>
      </w:r>
      <w:r w:rsidR="008360B8" w:rsidRPr="00CA6852">
        <w:rPr>
          <w:rFonts w:eastAsia="Times New Roman"/>
        </w:rPr>
        <w:t>they were</w:t>
      </w:r>
      <w:r w:rsidR="00DE726E" w:rsidRPr="00CA6852">
        <w:rPr>
          <w:rFonts w:eastAsia="Times New Roman"/>
        </w:rPr>
        <w:t xml:space="preserve"> likely to have any adverse impacts. Those fisheries were mostly for shellfish.</w:t>
      </w:r>
    </w:p>
    <w:p w14:paraId="79F16AD0" w14:textId="77777777" w:rsidR="00B91460" w:rsidRPr="00CA6852" w:rsidRDefault="00DE726E" w:rsidP="00587A9E">
      <w:pPr>
        <w:ind w:left="567" w:hanging="567"/>
        <w:jc w:val="both"/>
        <w:rPr>
          <w:rFonts w:eastAsia="Times New Roman"/>
        </w:rPr>
      </w:pPr>
      <w:r w:rsidRPr="00CA6852">
        <w:rPr>
          <w:rFonts w:eastAsia="Times New Roman"/>
        </w:rPr>
        <w:t>3.24</w:t>
      </w:r>
      <w:r w:rsidRPr="00CA6852">
        <w:rPr>
          <w:rFonts w:eastAsia="Times New Roman"/>
        </w:rPr>
        <w:tab/>
        <w:t xml:space="preserve">French fishers asked why there was to be a transitional period for zone 2 and not for zone 4 where testing of gears was also to take place. The reply was that </w:t>
      </w:r>
      <w:r w:rsidR="004822CA">
        <w:rPr>
          <w:rFonts w:eastAsia="Times New Roman"/>
        </w:rPr>
        <w:t xml:space="preserve">the distinction was based on feedback from the public consultation on the MSP but </w:t>
      </w:r>
      <w:r w:rsidRPr="00CA6852">
        <w:rPr>
          <w:rFonts w:eastAsia="Times New Roman"/>
        </w:rPr>
        <w:t>the Belgian Ministry was looking at this to see whether there was a need for a transitional period in the other zones. Antony Viera then asked whether there was a full technical description of the shrimp fishing sieving net. The reply was that there was a full description available</w:t>
      </w:r>
      <w:r w:rsidR="00B91460" w:rsidRPr="00CA6852">
        <w:rPr>
          <w:rFonts w:eastAsia="Times New Roman"/>
        </w:rPr>
        <w:t>.</w:t>
      </w:r>
      <w:r w:rsidR="004822CA">
        <w:rPr>
          <w:rFonts w:eastAsia="Times New Roman"/>
        </w:rPr>
        <w:t xml:space="preserve">  </w:t>
      </w:r>
      <w:r w:rsidR="00B91460" w:rsidRPr="00CA6852">
        <w:rPr>
          <w:rFonts w:eastAsia="Times New Roman"/>
        </w:rPr>
        <w:t>Julia Puplesyte then recapped on the process for adoption and the timetable. There would be meetings with the Scheveningen Group to arrive at a joint recommendation. The Belgian proposal would then be finalised. Under Article 11 the NSAC would have to be consulted. The proposal would be ready over the next few months and we might expect to see a joint recommendation emerging towards the end of 2015. Euan thanked Julia and members of the Belgian contingent for their attendance at the meeting, their scientific support, and their willingness to take part in these informal discussions.</w:t>
      </w:r>
    </w:p>
    <w:p w14:paraId="3D9B9D81" w14:textId="77777777" w:rsidR="00B91460" w:rsidRPr="00CA6852" w:rsidRDefault="00B91460" w:rsidP="0060441B">
      <w:pPr>
        <w:ind w:left="567" w:hanging="567"/>
        <w:jc w:val="both"/>
        <w:rPr>
          <w:rFonts w:eastAsia="Times New Roman"/>
        </w:rPr>
      </w:pPr>
    </w:p>
    <w:p w14:paraId="15F64617" w14:textId="77777777" w:rsidR="00B91460" w:rsidRPr="00CA6852" w:rsidRDefault="00B91460" w:rsidP="00B91460">
      <w:pPr>
        <w:ind w:left="567" w:hanging="567"/>
        <w:jc w:val="both"/>
        <w:rPr>
          <w:rFonts w:eastAsia="Times New Roman"/>
          <w:b/>
          <w:sz w:val="24"/>
          <w:szCs w:val="24"/>
        </w:rPr>
      </w:pPr>
      <w:r w:rsidRPr="00CA6852">
        <w:rPr>
          <w:rFonts w:eastAsia="Times New Roman"/>
          <w:b/>
          <w:sz w:val="24"/>
          <w:szCs w:val="24"/>
        </w:rPr>
        <w:t>4</w:t>
      </w:r>
      <w:r w:rsidRPr="00CA6852">
        <w:rPr>
          <w:rFonts w:eastAsia="Times New Roman"/>
          <w:b/>
          <w:sz w:val="24"/>
          <w:szCs w:val="24"/>
        </w:rPr>
        <w:tab/>
        <w:t>Any other Business</w:t>
      </w:r>
    </w:p>
    <w:p w14:paraId="23EBAD3C" w14:textId="77777777" w:rsidR="00163F18" w:rsidRPr="00CA6852" w:rsidRDefault="00163F18" w:rsidP="00B91460">
      <w:pPr>
        <w:ind w:left="567" w:hanging="567"/>
        <w:jc w:val="both"/>
        <w:rPr>
          <w:rFonts w:eastAsia="Times New Roman"/>
        </w:rPr>
      </w:pPr>
      <w:r w:rsidRPr="00CA6852">
        <w:rPr>
          <w:rFonts w:eastAsia="Times New Roman"/>
        </w:rPr>
        <w:t>4.1</w:t>
      </w:r>
      <w:r w:rsidRPr="00CA6852">
        <w:rPr>
          <w:rFonts w:eastAsia="Times New Roman"/>
        </w:rPr>
        <w:tab/>
      </w:r>
      <w:r w:rsidR="00AA340C" w:rsidRPr="00CA6852">
        <w:rPr>
          <w:rFonts w:eastAsia="Times New Roman"/>
        </w:rPr>
        <w:t>Pim Visser had attended a “fisheries day” at which there had been an exchange of views with the German authorities over the establishment of a particular reef/sandbank as a protected area</w:t>
      </w:r>
      <w:r w:rsidR="004822CA">
        <w:rPr>
          <w:rFonts w:eastAsia="Times New Roman"/>
        </w:rPr>
        <w:t xml:space="preserve"> in the German </w:t>
      </w:r>
      <w:r w:rsidR="00C27324">
        <w:rPr>
          <w:rFonts w:eastAsia="Times New Roman"/>
        </w:rPr>
        <w:t>pa</w:t>
      </w:r>
      <w:r w:rsidR="004822CA">
        <w:rPr>
          <w:rFonts w:eastAsia="Times New Roman"/>
        </w:rPr>
        <w:t>rt of the North Sea</w:t>
      </w:r>
      <w:r w:rsidR="00AA340C" w:rsidRPr="00CA6852">
        <w:rPr>
          <w:rFonts w:eastAsia="Times New Roman"/>
        </w:rPr>
        <w:t xml:space="preserve">. Pim had asked the German authorities to communicate with international stakeholders on this proposal. We needed to introduce ourselves to the appropriate </w:t>
      </w:r>
      <w:r w:rsidR="00E22073">
        <w:rPr>
          <w:rFonts w:eastAsia="Times New Roman"/>
        </w:rPr>
        <w:t xml:space="preserve">German </w:t>
      </w:r>
      <w:r w:rsidR="00AA340C" w:rsidRPr="00CA6852">
        <w:rPr>
          <w:rFonts w:eastAsia="Times New Roman"/>
        </w:rPr>
        <w:t xml:space="preserve">authorities, including those responsible for the environment, and to ask them to communicate with the NSAC over these proposals. This would avoid the </w:t>
      </w:r>
      <w:r w:rsidR="00E22073">
        <w:rPr>
          <w:rFonts w:eastAsia="Times New Roman"/>
        </w:rPr>
        <w:t xml:space="preserve">unhelpful </w:t>
      </w:r>
      <w:r w:rsidR="00AA340C" w:rsidRPr="00CA6852">
        <w:rPr>
          <w:rFonts w:eastAsia="Times New Roman"/>
        </w:rPr>
        <w:t>unilateral discussions we had experienced over the Dogger Bank. Peter Breckling said that there were no written documents on this proposal. There was some oral agreement between authorities that would be passed to the Scheveningen Group. A total area of 5,000 km</w:t>
      </w:r>
      <w:r w:rsidR="00AA340C" w:rsidRPr="00CA6852">
        <w:rPr>
          <w:rFonts w:eastAsia="Times New Roman"/>
          <w:vertAlign w:val="superscript"/>
        </w:rPr>
        <w:t>2</w:t>
      </w:r>
      <w:r w:rsidR="00AA340C" w:rsidRPr="00CA6852">
        <w:rPr>
          <w:rFonts w:eastAsia="Times New Roman"/>
        </w:rPr>
        <w:t xml:space="preserve"> would be closed to heavy beam trawlers. The German Government is convinced that it will not harm German fisheries, but German fishermen do not accept this and will take action through the courts once formal procedures begin. Peter would like the Spatial Planning Working group to become involved in this issue. Euan Dunn asked Peter to provide some briefing material on this issue.</w:t>
      </w:r>
    </w:p>
    <w:p w14:paraId="23619836" w14:textId="77777777" w:rsidR="0070089C" w:rsidRPr="00CA6852" w:rsidRDefault="0070089C" w:rsidP="00D0203A">
      <w:pPr>
        <w:ind w:left="567" w:hanging="567"/>
        <w:jc w:val="both"/>
        <w:rPr>
          <w:rFonts w:eastAsia="Times New Roman"/>
        </w:rPr>
      </w:pPr>
    </w:p>
    <w:p w14:paraId="7219190B" w14:textId="77777777" w:rsidR="0070089C" w:rsidRPr="00CA6852" w:rsidRDefault="00B91460" w:rsidP="0070089C">
      <w:pPr>
        <w:ind w:left="567" w:hanging="567"/>
        <w:jc w:val="both"/>
        <w:rPr>
          <w:rFonts w:eastAsia="Times New Roman"/>
          <w:b/>
          <w:sz w:val="24"/>
          <w:szCs w:val="24"/>
        </w:rPr>
      </w:pPr>
      <w:r w:rsidRPr="00CA6852">
        <w:rPr>
          <w:rFonts w:eastAsia="Times New Roman"/>
          <w:b/>
          <w:sz w:val="24"/>
          <w:szCs w:val="24"/>
        </w:rPr>
        <w:t>5</w:t>
      </w:r>
      <w:r w:rsidR="0070089C" w:rsidRPr="00CA6852">
        <w:rPr>
          <w:rFonts w:eastAsia="Times New Roman"/>
          <w:b/>
          <w:sz w:val="24"/>
          <w:szCs w:val="24"/>
        </w:rPr>
        <w:tab/>
      </w:r>
      <w:r w:rsidRPr="00CA6852">
        <w:rPr>
          <w:rFonts w:eastAsia="Times New Roman"/>
          <w:b/>
          <w:sz w:val="24"/>
          <w:szCs w:val="24"/>
        </w:rPr>
        <w:t>Next Meeting</w:t>
      </w:r>
    </w:p>
    <w:p w14:paraId="47E2BB7F" w14:textId="77777777" w:rsidR="00E0741E" w:rsidRPr="00CA6852" w:rsidRDefault="00B91460" w:rsidP="00D0203A">
      <w:pPr>
        <w:ind w:left="567" w:hanging="567"/>
        <w:jc w:val="both"/>
        <w:rPr>
          <w:rFonts w:eastAsia="Times New Roman"/>
        </w:rPr>
      </w:pPr>
      <w:r w:rsidRPr="00CA6852">
        <w:rPr>
          <w:rFonts w:eastAsia="Times New Roman"/>
        </w:rPr>
        <w:t>5</w:t>
      </w:r>
      <w:r w:rsidR="0070089C" w:rsidRPr="00CA6852">
        <w:rPr>
          <w:rFonts w:eastAsia="Times New Roman"/>
        </w:rPr>
        <w:t>.1</w:t>
      </w:r>
      <w:r w:rsidR="0070089C" w:rsidRPr="00CA6852">
        <w:rPr>
          <w:rFonts w:eastAsia="Times New Roman"/>
        </w:rPr>
        <w:tab/>
      </w:r>
      <w:r w:rsidRPr="00CA6852">
        <w:rPr>
          <w:rFonts w:eastAsia="Times New Roman"/>
        </w:rPr>
        <w:t>An important next step is to get our interactions with the Scheveningen Group sorted out. More Dogger bank issues were also likely to arise</w:t>
      </w:r>
      <w:r w:rsidR="0066441A" w:rsidRPr="00CA6852">
        <w:rPr>
          <w:rFonts w:eastAsia="Times New Roman"/>
        </w:rPr>
        <w:t>.</w:t>
      </w:r>
      <w:r w:rsidRPr="00CA6852">
        <w:rPr>
          <w:rFonts w:eastAsia="Times New Roman"/>
        </w:rPr>
        <w:t xml:space="preserve"> The Working Group would need to meet before the end of the year.</w:t>
      </w:r>
    </w:p>
    <w:p w14:paraId="603FE4C1" w14:textId="77777777" w:rsidR="000A1433" w:rsidRDefault="000A1433">
      <w:pPr>
        <w:spacing w:after="0" w:line="240" w:lineRule="auto"/>
        <w:rPr>
          <w:b/>
          <w:sz w:val="24"/>
          <w:szCs w:val="24"/>
        </w:rPr>
      </w:pPr>
      <w:r>
        <w:rPr>
          <w:b/>
          <w:sz w:val="24"/>
          <w:szCs w:val="24"/>
        </w:rPr>
        <w:lastRenderedPageBreak/>
        <w:br w:type="page"/>
      </w:r>
    </w:p>
    <w:p w14:paraId="0E37B65A" w14:textId="77777777" w:rsidR="00B91460" w:rsidRPr="00CA6852" w:rsidRDefault="00B91460" w:rsidP="00D0203A">
      <w:pPr>
        <w:ind w:left="567" w:hanging="567"/>
        <w:jc w:val="both"/>
        <w:rPr>
          <w:b/>
          <w:sz w:val="24"/>
          <w:szCs w:val="24"/>
        </w:rPr>
      </w:pPr>
    </w:p>
    <w:p w14:paraId="0A5B664D" w14:textId="77777777" w:rsidR="00D0203A" w:rsidRPr="00CA6852" w:rsidRDefault="00B91460" w:rsidP="00D0203A">
      <w:pPr>
        <w:ind w:left="567" w:hanging="567"/>
        <w:jc w:val="both"/>
        <w:rPr>
          <w:b/>
          <w:sz w:val="24"/>
          <w:szCs w:val="24"/>
        </w:rPr>
      </w:pPr>
      <w:r w:rsidRPr="00CA6852">
        <w:rPr>
          <w:b/>
          <w:sz w:val="24"/>
          <w:szCs w:val="24"/>
        </w:rPr>
        <w:t>6</w:t>
      </w:r>
      <w:r w:rsidR="00D0203A" w:rsidRPr="00CA6852">
        <w:rPr>
          <w:b/>
          <w:sz w:val="24"/>
          <w:szCs w:val="24"/>
        </w:rPr>
        <w:tab/>
        <w:t>Action Points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972"/>
      </w:tblGrid>
      <w:tr w:rsidR="00D0203A" w:rsidRPr="00CA6852" w14:paraId="034903D4" w14:textId="77777777">
        <w:tc>
          <w:tcPr>
            <w:tcW w:w="5977" w:type="dxa"/>
            <w:shd w:val="clear" w:color="auto" w:fill="auto"/>
          </w:tcPr>
          <w:p w14:paraId="6F705603" w14:textId="77777777" w:rsidR="00D0203A" w:rsidRPr="00CA6852" w:rsidRDefault="00D0203A" w:rsidP="00D0203A">
            <w:pPr>
              <w:jc w:val="center"/>
              <w:rPr>
                <w:b/>
              </w:rPr>
            </w:pPr>
            <w:r w:rsidRPr="00CA6852">
              <w:rPr>
                <w:b/>
              </w:rPr>
              <w:t>Actions</w:t>
            </w:r>
          </w:p>
        </w:tc>
        <w:tc>
          <w:tcPr>
            <w:tcW w:w="1972" w:type="dxa"/>
            <w:shd w:val="clear" w:color="auto" w:fill="auto"/>
          </w:tcPr>
          <w:p w14:paraId="43A09A37" w14:textId="77777777" w:rsidR="00D0203A" w:rsidRPr="00CA6852" w:rsidRDefault="00D0203A" w:rsidP="00D0203A">
            <w:pPr>
              <w:jc w:val="both"/>
              <w:rPr>
                <w:b/>
              </w:rPr>
            </w:pPr>
            <w:r w:rsidRPr="00CA6852">
              <w:rPr>
                <w:b/>
              </w:rPr>
              <w:t>Responsible</w:t>
            </w:r>
          </w:p>
        </w:tc>
      </w:tr>
      <w:tr w:rsidR="00D0203A" w:rsidRPr="00CA6852" w14:paraId="7657FBEB" w14:textId="77777777">
        <w:tc>
          <w:tcPr>
            <w:tcW w:w="5977" w:type="dxa"/>
            <w:shd w:val="clear" w:color="auto" w:fill="auto"/>
          </w:tcPr>
          <w:p w14:paraId="2324994F" w14:textId="77777777" w:rsidR="00D0203A" w:rsidRPr="00CA6852" w:rsidRDefault="00AA340C" w:rsidP="00AA340C">
            <w:pPr>
              <w:numPr>
                <w:ilvl w:val="0"/>
                <w:numId w:val="26"/>
              </w:numPr>
              <w:jc w:val="both"/>
              <w:rPr>
                <w:rFonts w:eastAsia="Times New Roman"/>
              </w:rPr>
            </w:pPr>
            <w:r w:rsidRPr="00CA6852">
              <w:rPr>
                <w:rFonts w:eastAsia="Times New Roman"/>
              </w:rPr>
              <w:t xml:space="preserve">The report of the previous meeting will be amended to take account of an overstatement of the Danish position in paragraph 4.25 (2.1). </w:t>
            </w:r>
          </w:p>
        </w:tc>
        <w:tc>
          <w:tcPr>
            <w:tcW w:w="1972" w:type="dxa"/>
            <w:shd w:val="clear" w:color="auto" w:fill="auto"/>
          </w:tcPr>
          <w:p w14:paraId="4E1A3581" w14:textId="77777777" w:rsidR="00D0203A" w:rsidRPr="00CA6852" w:rsidRDefault="00AA340C" w:rsidP="00D0203A">
            <w:pPr>
              <w:jc w:val="both"/>
            </w:pPr>
            <w:r w:rsidRPr="00CA6852">
              <w:t>Euan Dunn</w:t>
            </w:r>
          </w:p>
          <w:p w14:paraId="5E83837B" w14:textId="77777777" w:rsidR="00D0203A" w:rsidRPr="00CA6852" w:rsidRDefault="00D0203A" w:rsidP="00D0203A">
            <w:pPr>
              <w:jc w:val="both"/>
            </w:pPr>
            <w:r w:rsidRPr="00CA6852">
              <w:t>Secretariat</w:t>
            </w:r>
          </w:p>
        </w:tc>
      </w:tr>
      <w:tr w:rsidR="00AA340C" w:rsidRPr="00CA6852" w14:paraId="1B25F7D7" w14:textId="77777777">
        <w:tc>
          <w:tcPr>
            <w:tcW w:w="5977" w:type="dxa"/>
            <w:shd w:val="clear" w:color="auto" w:fill="auto"/>
          </w:tcPr>
          <w:p w14:paraId="28685857" w14:textId="77777777" w:rsidR="00AA340C" w:rsidRPr="00CA6852" w:rsidRDefault="00AA340C" w:rsidP="00AA0808">
            <w:pPr>
              <w:numPr>
                <w:ilvl w:val="0"/>
                <w:numId w:val="26"/>
              </w:numPr>
              <w:jc w:val="both"/>
              <w:rPr>
                <w:rFonts w:eastAsia="Times New Roman"/>
              </w:rPr>
            </w:pPr>
            <w:r w:rsidRPr="00CA6852">
              <w:t>The</w:t>
            </w:r>
            <w:r w:rsidRPr="00CA6852">
              <w:rPr>
                <w:rFonts w:cs="Arial"/>
              </w:rPr>
              <w:t xml:space="preserve"> TORs with external bodies will be amended so that responsibilities are clear. This will allow the NSAC to deal with external bodies in a professional manner</w:t>
            </w:r>
            <w:r w:rsidR="00AA0808" w:rsidRPr="00CA6852">
              <w:rPr>
                <w:rFonts w:cs="Arial"/>
              </w:rPr>
              <w:t xml:space="preserve"> (2.3)</w:t>
            </w:r>
            <w:r w:rsidRPr="00CA6852">
              <w:rPr>
                <w:rFonts w:cs="Arial"/>
              </w:rPr>
              <w:t>.</w:t>
            </w:r>
          </w:p>
        </w:tc>
        <w:tc>
          <w:tcPr>
            <w:tcW w:w="1972" w:type="dxa"/>
            <w:shd w:val="clear" w:color="auto" w:fill="auto"/>
          </w:tcPr>
          <w:p w14:paraId="4611BFB9" w14:textId="77777777" w:rsidR="00AA340C" w:rsidRPr="00CA6852" w:rsidRDefault="00AA0808" w:rsidP="00D0203A">
            <w:pPr>
              <w:jc w:val="both"/>
            </w:pPr>
            <w:r w:rsidRPr="00CA6852">
              <w:t>Euan Dunn</w:t>
            </w:r>
          </w:p>
          <w:p w14:paraId="31F4E5F0" w14:textId="77777777" w:rsidR="00AA0808" w:rsidRPr="00CA6852" w:rsidRDefault="00AA0808" w:rsidP="00D0203A">
            <w:pPr>
              <w:jc w:val="both"/>
            </w:pPr>
            <w:r w:rsidRPr="00CA6852">
              <w:t>Secretariat</w:t>
            </w:r>
          </w:p>
        </w:tc>
      </w:tr>
      <w:tr w:rsidR="00D0203A" w:rsidRPr="00CA6852" w14:paraId="7C1A5D3A" w14:textId="77777777">
        <w:tc>
          <w:tcPr>
            <w:tcW w:w="5977" w:type="dxa"/>
            <w:shd w:val="clear" w:color="auto" w:fill="auto"/>
          </w:tcPr>
          <w:p w14:paraId="1AA1A9CE" w14:textId="77777777" w:rsidR="00D0203A" w:rsidRPr="00CA6852" w:rsidRDefault="00AA340C" w:rsidP="00AA340C">
            <w:pPr>
              <w:numPr>
                <w:ilvl w:val="0"/>
                <w:numId w:val="26"/>
              </w:numPr>
              <w:jc w:val="both"/>
            </w:pPr>
            <w:r w:rsidRPr="00CA6852">
              <w:rPr>
                <w:rFonts w:eastAsia="Times New Roman"/>
              </w:rPr>
              <w:t>Briefing material will be provided to the Working Group on emerging proposals for a reef/sandbank-protected area in German waters that will be closed to heavy beam trawlers</w:t>
            </w:r>
            <w:r w:rsidR="006826FA" w:rsidRPr="00CA6852">
              <w:rPr>
                <w:rFonts w:eastAsia="Times New Roman"/>
              </w:rPr>
              <w:t xml:space="preserve"> </w:t>
            </w:r>
            <w:r w:rsidR="00D0203A" w:rsidRPr="00CA6852">
              <w:rPr>
                <w:szCs w:val="20"/>
                <w:lang w:bidi="en-US"/>
              </w:rPr>
              <w:t>(4.</w:t>
            </w:r>
            <w:r w:rsidRPr="00CA6852">
              <w:rPr>
                <w:szCs w:val="20"/>
                <w:lang w:bidi="en-US"/>
              </w:rPr>
              <w:t>1</w:t>
            </w:r>
            <w:r w:rsidR="00D0203A" w:rsidRPr="00CA6852">
              <w:rPr>
                <w:szCs w:val="20"/>
                <w:lang w:bidi="en-US"/>
              </w:rPr>
              <w:t>).</w:t>
            </w:r>
          </w:p>
        </w:tc>
        <w:tc>
          <w:tcPr>
            <w:tcW w:w="1972" w:type="dxa"/>
            <w:shd w:val="clear" w:color="auto" w:fill="auto"/>
          </w:tcPr>
          <w:p w14:paraId="46FC0E3D" w14:textId="77777777" w:rsidR="00427596" w:rsidRPr="00CA6852" w:rsidRDefault="00AA340C" w:rsidP="00D0203A">
            <w:r w:rsidRPr="00CA6852">
              <w:t>Peter Breckling</w:t>
            </w:r>
            <w:r w:rsidR="00427596" w:rsidRPr="00CA6852">
              <w:t xml:space="preserve"> </w:t>
            </w:r>
          </w:p>
          <w:p w14:paraId="4EBB2229" w14:textId="77777777" w:rsidR="00D0203A" w:rsidRPr="00CA6852" w:rsidRDefault="00D0203A" w:rsidP="00D0203A">
            <w:r w:rsidRPr="00CA6852">
              <w:t>Secretariat</w:t>
            </w:r>
          </w:p>
        </w:tc>
      </w:tr>
      <w:tr w:rsidR="00D0203A" w:rsidRPr="00CA6852" w14:paraId="0B49B242" w14:textId="77777777">
        <w:tc>
          <w:tcPr>
            <w:tcW w:w="5977" w:type="dxa"/>
            <w:shd w:val="clear" w:color="auto" w:fill="auto"/>
          </w:tcPr>
          <w:p w14:paraId="1A776E36" w14:textId="77777777" w:rsidR="00D0203A" w:rsidRPr="00CA6852" w:rsidRDefault="008360B8" w:rsidP="00E22073">
            <w:pPr>
              <w:numPr>
                <w:ilvl w:val="0"/>
                <w:numId w:val="26"/>
              </w:numPr>
              <w:jc w:val="both"/>
            </w:pPr>
            <w:r w:rsidRPr="00CA6852">
              <w:rPr>
                <w:szCs w:val="24"/>
              </w:rPr>
              <w:t xml:space="preserve">The Working Group will meet before the end of the year. An important next step is to get our interactions with the Scheveningen Group sorted out. More Dogger </w:t>
            </w:r>
            <w:r w:rsidR="00E22073">
              <w:rPr>
                <w:szCs w:val="24"/>
              </w:rPr>
              <w:t>B</w:t>
            </w:r>
            <w:r w:rsidRPr="00CA6852">
              <w:rPr>
                <w:szCs w:val="24"/>
              </w:rPr>
              <w:t>ank issues were also likely to arise (5.1).</w:t>
            </w:r>
          </w:p>
        </w:tc>
        <w:tc>
          <w:tcPr>
            <w:tcW w:w="1972" w:type="dxa"/>
            <w:shd w:val="clear" w:color="auto" w:fill="auto"/>
          </w:tcPr>
          <w:p w14:paraId="72CBD612" w14:textId="77777777" w:rsidR="00427596" w:rsidRPr="00CA6852" w:rsidRDefault="008360B8" w:rsidP="00D0203A">
            <w:pPr>
              <w:jc w:val="both"/>
            </w:pPr>
            <w:r w:rsidRPr="00CA6852">
              <w:t>Secretariat</w:t>
            </w:r>
          </w:p>
          <w:p w14:paraId="10E0632F" w14:textId="77777777" w:rsidR="008360B8" w:rsidRPr="00CA6852" w:rsidRDefault="008360B8" w:rsidP="00D0203A">
            <w:pPr>
              <w:jc w:val="both"/>
            </w:pPr>
            <w:r w:rsidRPr="00CA6852">
              <w:t>Euan Dunn</w:t>
            </w:r>
          </w:p>
        </w:tc>
      </w:tr>
    </w:tbl>
    <w:p w14:paraId="25483996" w14:textId="77777777" w:rsidR="00D0203A" w:rsidRPr="00CA6852" w:rsidRDefault="00D0203A" w:rsidP="00D0203A">
      <w:pPr>
        <w:ind w:left="567" w:hanging="567"/>
        <w:jc w:val="both"/>
        <w:rPr>
          <w:b/>
          <w:sz w:val="24"/>
          <w:szCs w:val="24"/>
        </w:rPr>
      </w:pPr>
    </w:p>
    <w:p w14:paraId="5ED5FE64" w14:textId="77777777" w:rsidR="00CA6852" w:rsidRPr="00CA6852" w:rsidRDefault="00CA6852" w:rsidP="00D0203A">
      <w:pPr>
        <w:ind w:left="567" w:hanging="567"/>
        <w:jc w:val="both"/>
        <w:rPr>
          <w:szCs w:val="24"/>
        </w:rPr>
      </w:pPr>
    </w:p>
    <w:p w14:paraId="528D266E" w14:textId="77777777" w:rsidR="00D0203A" w:rsidRPr="00CA6852" w:rsidRDefault="00D0203A" w:rsidP="00D0203A">
      <w:pPr>
        <w:ind w:left="567" w:hanging="567"/>
        <w:jc w:val="both"/>
        <w:rPr>
          <w:b/>
          <w:sz w:val="24"/>
          <w:szCs w:val="24"/>
        </w:rPr>
      </w:pPr>
      <w:r w:rsidRPr="00CA6852">
        <w:rPr>
          <w:b/>
          <w:sz w:val="24"/>
          <w:szCs w:val="24"/>
        </w:rPr>
        <w:t>8.</w:t>
      </w:r>
      <w:r w:rsidRPr="00CA6852">
        <w:rPr>
          <w:b/>
          <w:sz w:val="24"/>
          <w:szCs w:val="24"/>
        </w:rPr>
        <w:tab/>
        <w:t>Attendance</w:t>
      </w:r>
    </w:p>
    <w:p w14:paraId="0C083D94" w14:textId="77777777" w:rsidR="00D0203A" w:rsidRPr="00CA6852" w:rsidRDefault="00D0203A" w:rsidP="00CA6852">
      <w:pPr>
        <w:ind w:left="1134"/>
        <w:jc w:val="both"/>
      </w:pPr>
    </w:p>
    <w:tbl>
      <w:tblPr>
        <w:tblW w:w="62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701"/>
        <w:gridCol w:w="2835"/>
      </w:tblGrid>
      <w:tr w:rsidR="00015F87" w:rsidRPr="00CA6852" w14:paraId="607E27A9" w14:textId="77777777">
        <w:trPr>
          <w:trHeight w:hRule="exact" w:val="714"/>
        </w:trPr>
        <w:tc>
          <w:tcPr>
            <w:tcW w:w="1701" w:type="dxa"/>
            <w:shd w:val="clear" w:color="auto" w:fill="FFFFFF"/>
          </w:tcPr>
          <w:p w14:paraId="332F14A8" w14:textId="77777777" w:rsidR="00015F87" w:rsidRPr="00CA6852" w:rsidRDefault="00015F87" w:rsidP="00015F87">
            <w:pPr>
              <w:pStyle w:val="TableParagraph"/>
              <w:spacing w:before="49"/>
              <w:rPr>
                <w:rFonts w:ascii="Arial" w:hAnsi="Arial" w:cs="Arial"/>
                <w:b/>
                <w:lang w:val="en-GB"/>
              </w:rPr>
            </w:pPr>
          </w:p>
          <w:p w14:paraId="30384C38" w14:textId="77777777" w:rsidR="00015F87" w:rsidRPr="00CA6852" w:rsidRDefault="00015F87" w:rsidP="00F1478F">
            <w:pPr>
              <w:pStyle w:val="TableParagraph"/>
              <w:spacing w:before="49"/>
              <w:ind w:left="110"/>
              <w:rPr>
                <w:rFonts w:ascii="Arial" w:hAnsi="Arial" w:cs="Arial"/>
                <w:b/>
                <w:lang w:val="en-GB"/>
              </w:rPr>
            </w:pPr>
            <w:r w:rsidRPr="00CA6852">
              <w:rPr>
                <w:rFonts w:ascii="Arial" w:hAnsi="Arial" w:cs="Arial"/>
                <w:b/>
                <w:lang w:val="en-GB"/>
              </w:rPr>
              <w:t>Family Name</w:t>
            </w:r>
          </w:p>
        </w:tc>
        <w:tc>
          <w:tcPr>
            <w:tcW w:w="1701" w:type="dxa"/>
            <w:shd w:val="clear" w:color="auto" w:fill="FFFFFF"/>
          </w:tcPr>
          <w:p w14:paraId="7AD0DC5A" w14:textId="77777777" w:rsidR="00015F87" w:rsidRPr="00CA6852" w:rsidRDefault="00015F87" w:rsidP="00F1478F">
            <w:pPr>
              <w:pStyle w:val="TableParagraph"/>
              <w:spacing w:before="49"/>
              <w:ind w:left="110"/>
              <w:rPr>
                <w:rFonts w:ascii="Arial" w:hAnsi="Arial" w:cs="Arial"/>
                <w:b/>
                <w:lang w:val="en-GB"/>
              </w:rPr>
            </w:pPr>
          </w:p>
          <w:p w14:paraId="39A26AFF" w14:textId="77777777" w:rsidR="00015F87" w:rsidRPr="00CA6852" w:rsidRDefault="00015F87" w:rsidP="00F1478F">
            <w:pPr>
              <w:pStyle w:val="TableParagraph"/>
              <w:spacing w:before="49"/>
              <w:ind w:left="110"/>
              <w:rPr>
                <w:rFonts w:ascii="Arial" w:hAnsi="Arial" w:cs="Arial"/>
                <w:b/>
                <w:lang w:val="en-GB"/>
              </w:rPr>
            </w:pPr>
            <w:r w:rsidRPr="00CA6852">
              <w:rPr>
                <w:rFonts w:ascii="Arial" w:hAnsi="Arial" w:cs="Arial"/>
                <w:b/>
                <w:lang w:val="en-GB"/>
              </w:rPr>
              <w:t>Given Name</w:t>
            </w:r>
          </w:p>
        </w:tc>
        <w:tc>
          <w:tcPr>
            <w:tcW w:w="2835" w:type="dxa"/>
            <w:shd w:val="clear" w:color="auto" w:fill="FFFFFF"/>
          </w:tcPr>
          <w:p w14:paraId="26EF8DAF" w14:textId="77777777" w:rsidR="00015F87" w:rsidRPr="00CA6852" w:rsidRDefault="00015F87" w:rsidP="00F1478F">
            <w:pPr>
              <w:pStyle w:val="TableParagraph"/>
              <w:spacing w:before="49"/>
              <w:ind w:left="110"/>
              <w:rPr>
                <w:rFonts w:ascii="Arial" w:hAnsi="Arial" w:cs="Arial"/>
                <w:b/>
                <w:lang w:val="en-GB"/>
              </w:rPr>
            </w:pPr>
          </w:p>
          <w:p w14:paraId="4F1B2C45" w14:textId="77777777" w:rsidR="00015F87" w:rsidRPr="00CA6852" w:rsidRDefault="00015F87" w:rsidP="00F1478F">
            <w:pPr>
              <w:pStyle w:val="TableParagraph"/>
              <w:spacing w:before="49"/>
              <w:ind w:left="110"/>
              <w:rPr>
                <w:rFonts w:ascii="Arial" w:hAnsi="Arial" w:cs="Arial"/>
                <w:b/>
                <w:lang w:val="en-GB"/>
              </w:rPr>
            </w:pPr>
            <w:r w:rsidRPr="00CA6852">
              <w:rPr>
                <w:rFonts w:ascii="Arial" w:hAnsi="Arial" w:cs="Arial"/>
                <w:b/>
                <w:lang w:val="en-GB"/>
              </w:rPr>
              <w:t>Organisation</w:t>
            </w:r>
          </w:p>
        </w:tc>
      </w:tr>
      <w:tr w:rsidR="00CA6852" w:rsidRPr="00CA6852" w14:paraId="2C6D6C47" w14:textId="77777777">
        <w:trPr>
          <w:trHeight w:hRule="exact" w:val="714"/>
        </w:trPr>
        <w:tc>
          <w:tcPr>
            <w:tcW w:w="1701" w:type="dxa"/>
            <w:shd w:val="clear" w:color="auto" w:fill="FFFFFF"/>
          </w:tcPr>
          <w:p w14:paraId="62C45B01"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Absil</w:t>
            </w:r>
          </w:p>
        </w:tc>
        <w:tc>
          <w:tcPr>
            <w:tcW w:w="1701" w:type="dxa"/>
            <w:shd w:val="clear" w:color="auto" w:fill="FFFFFF"/>
          </w:tcPr>
          <w:p w14:paraId="21E422B0"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Christine</w:t>
            </w:r>
          </w:p>
        </w:tc>
        <w:tc>
          <w:tcPr>
            <w:tcW w:w="2835" w:type="dxa"/>
            <w:shd w:val="clear" w:color="auto" w:fill="FFFFFF"/>
          </w:tcPr>
          <w:p w14:paraId="48136DF0"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Seas at Risk</w:t>
            </w:r>
          </w:p>
        </w:tc>
      </w:tr>
      <w:tr w:rsidR="00CA6852" w:rsidRPr="00CA6852" w14:paraId="1E8CCC5B" w14:textId="77777777">
        <w:trPr>
          <w:trHeight w:hRule="exact" w:val="714"/>
        </w:trPr>
        <w:tc>
          <w:tcPr>
            <w:tcW w:w="1701" w:type="dxa"/>
            <w:shd w:val="clear" w:color="auto" w:fill="FFFFFF"/>
          </w:tcPr>
          <w:p w14:paraId="7CDF9C55"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Anderson</w:t>
            </w:r>
          </w:p>
        </w:tc>
        <w:tc>
          <w:tcPr>
            <w:tcW w:w="1701" w:type="dxa"/>
            <w:shd w:val="clear" w:color="auto" w:fill="FFFFFF"/>
          </w:tcPr>
          <w:p w14:paraId="297D6017"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Anne-Margaret</w:t>
            </w:r>
          </w:p>
        </w:tc>
        <w:tc>
          <w:tcPr>
            <w:tcW w:w="2835" w:type="dxa"/>
            <w:shd w:val="clear" w:color="auto" w:fill="FFFFFF"/>
          </w:tcPr>
          <w:p w14:paraId="49DC2BE5"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SWFPA</w:t>
            </w:r>
          </w:p>
        </w:tc>
      </w:tr>
      <w:tr w:rsidR="00CA6852" w:rsidRPr="00CA6852" w14:paraId="09088BAD" w14:textId="77777777">
        <w:trPr>
          <w:trHeight w:hRule="exact" w:val="714"/>
        </w:trPr>
        <w:tc>
          <w:tcPr>
            <w:tcW w:w="1701" w:type="dxa"/>
            <w:shd w:val="clear" w:color="auto" w:fill="FFFFFF"/>
          </w:tcPr>
          <w:p w14:paraId="1A888292"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Anderson</w:t>
            </w:r>
          </w:p>
        </w:tc>
        <w:tc>
          <w:tcPr>
            <w:tcW w:w="1701" w:type="dxa"/>
            <w:shd w:val="clear" w:color="auto" w:fill="FFFFFF"/>
          </w:tcPr>
          <w:p w14:paraId="0205E7C5"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John</w:t>
            </w:r>
          </w:p>
        </w:tc>
        <w:tc>
          <w:tcPr>
            <w:tcW w:w="2835" w:type="dxa"/>
            <w:shd w:val="clear" w:color="auto" w:fill="FFFFFF"/>
          </w:tcPr>
          <w:p w14:paraId="3799240B"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SFO</w:t>
            </w:r>
          </w:p>
        </w:tc>
      </w:tr>
      <w:tr w:rsidR="00CA6852" w:rsidRPr="00CA6852" w14:paraId="0B989571" w14:textId="77777777">
        <w:trPr>
          <w:trHeight w:hRule="exact" w:val="714"/>
        </w:trPr>
        <w:tc>
          <w:tcPr>
            <w:tcW w:w="1701" w:type="dxa"/>
            <w:shd w:val="clear" w:color="auto" w:fill="FFFFFF"/>
          </w:tcPr>
          <w:p w14:paraId="27E30F84"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Breckling</w:t>
            </w:r>
          </w:p>
        </w:tc>
        <w:tc>
          <w:tcPr>
            <w:tcW w:w="1701" w:type="dxa"/>
            <w:shd w:val="clear" w:color="auto" w:fill="FFFFFF"/>
          </w:tcPr>
          <w:p w14:paraId="4CD7001D"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Peter</w:t>
            </w:r>
          </w:p>
        </w:tc>
        <w:tc>
          <w:tcPr>
            <w:tcW w:w="2835" w:type="dxa"/>
            <w:shd w:val="clear" w:color="auto" w:fill="FFFFFF"/>
          </w:tcPr>
          <w:p w14:paraId="6F2C251C"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Deutscher Fischerei-Verband</w:t>
            </w:r>
          </w:p>
        </w:tc>
      </w:tr>
      <w:tr w:rsidR="00CA6852" w:rsidRPr="00CA6852" w14:paraId="501D25A4" w14:textId="77777777">
        <w:trPr>
          <w:trHeight w:hRule="exact" w:val="714"/>
        </w:trPr>
        <w:tc>
          <w:tcPr>
            <w:tcW w:w="1701" w:type="dxa"/>
            <w:shd w:val="clear" w:color="auto" w:fill="FFFFFF"/>
          </w:tcPr>
          <w:p w14:paraId="77A9C3AC"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Brouckaert</w:t>
            </w:r>
          </w:p>
        </w:tc>
        <w:tc>
          <w:tcPr>
            <w:tcW w:w="1701" w:type="dxa"/>
            <w:shd w:val="clear" w:color="auto" w:fill="FFFFFF"/>
          </w:tcPr>
          <w:p w14:paraId="46C4A375"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Emiel</w:t>
            </w:r>
          </w:p>
        </w:tc>
        <w:tc>
          <w:tcPr>
            <w:tcW w:w="2835" w:type="dxa"/>
            <w:shd w:val="clear" w:color="auto" w:fill="FFFFFF"/>
          </w:tcPr>
          <w:p w14:paraId="00BF90A8"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Rederscentrale</w:t>
            </w:r>
          </w:p>
        </w:tc>
      </w:tr>
      <w:tr w:rsidR="00CA6852" w:rsidRPr="00CA6852" w14:paraId="6EE88398" w14:textId="77777777">
        <w:trPr>
          <w:trHeight w:hRule="exact" w:val="714"/>
        </w:trPr>
        <w:tc>
          <w:tcPr>
            <w:tcW w:w="1701" w:type="dxa"/>
            <w:shd w:val="clear" w:color="auto" w:fill="FFFFFF"/>
          </w:tcPr>
          <w:p w14:paraId="0939EFA8"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Degloire</w:t>
            </w:r>
          </w:p>
        </w:tc>
        <w:tc>
          <w:tcPr>
            <w:tcW w:w="1701" w:type="dxa"/>
            <w:shd w:val="clear" w:color="auto" w:fill="FFFFFF"/>
          </w:tcPr>
          <w:p w14:paraId="0EABAE44"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Mieke</w:t>
            </w:r>
          </w:p>
        </w:tc>
        <w:tc>
          <w:tcPr>
            <w:tcW w:w="2835" w:type="dxa"/>
            <w:shd w:val="clear" w:color="auto" w:fill="FFFFFF"/>
          </w:tcPr>
          <w:p w14:paraId="6B491CF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Belgian Ministry of Environment</w:t>
            </w:r>
          </w:p>
        </w:tc>
      </w:tr>
      <w:tr w:rsidR="00CA6852" w:rsidRPr="00CA6852" w14:paraId="40E15F39" w14:textId="77777777">
        <w:trPr>
          <w:trHeight w:hRule="exact" w:val="714"/>
        </w:trPr>
        <w:tc>
          <w:tcPr>
            <w:tcW w:w="1701" w:type="dxa"/>
            <w:shd w:val="clear" w:color="auto" w:fill="FFFFFF"/>
          </w:tcPr>
          <w:p w14:paraId="690D5F05"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lastRenderedPageBreak/>
              <w:t>Duguid</w:t>
            </w:r>
          </w:p>
        </w:tc>
        <w:tc>
          <w:tcPr>
            <w:tcW w:w="1701" w:type="dxa"/>
            <w:shd w:val="clear" w:color="auto" w:fill="FFFFFF"/>
          </w:tcPr>
          <w:p w14:paraId="410325F2"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Lorna</w:t>
            </w:r>
          </w:p>
        </w:tc>
        <w:tc>
          <w:tcPr>
            <w:tcW w:w="2835" w:type="dxa"/>
            <w:shd w:val="clear" w:color="auto" w:fill="FFFFFF"/>
          </w:tcPr>
          <w:p w14:paraId="30D39AAB"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NSAC</w:t>
            </w:r>
          </w:p>
        </w:tc>
      </w:tr>
      <w:tr w:rsidR="00CA6852" w:rsidRPr="00CA6852" w14:paraId="6DBE67CD" w14:textId="77777777">
        <w:trPr>
          <w:trHeight w:hRule="exact" w:val="714"/>
        </w:trPr>
        <w:tc>
          <w:tcPr>
            <w:tcW w:w="1701" w:type="dxa"/>
            <w:shd w:val="clear" w:color="auto" w:fill="FFFFFF"/>
          </w:tcPr>
          <w:p w14:paraId="210EE407"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Dunn</w:t>
            </w:r>
          </w:p>
        </w:tc>
        <w:tc>
          <w:tcPr>
            <w:tcW w:w="1701" w:type="dxa"/>
            <w:shd w:val="clear" w:color="auto" w:fill="FFFFFF"/>
          </w:tcPr>
          <w:p w14:paraId="534E9D9C"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Euan</w:t>
            </w:r>
          </w:p>
        </w:tc>
        <w:tc>
          <w:tcPr>
            <w:tcW w:w="2835" w:type="dxa"/>
            <w:shd w:val="clear" w:color="auto" w:fill="FFFFFF"/>
          </w:tcPr>
          <w:p w14:paraId="0A0144F0"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Birdlife</w:t>
            </w:r>
          </w:p>
        </w:tc>
      </w:tr>
      <w:tr w:rsidR="00CA6852" w:rsidRPr="00CA6852" w14:paraId="13BCA082" w14:textId="77777777">
        <w:trPr>
          <w:trHeight w:hRule="exact" w:val="714"/>
        </w:trPr>
        <w:tc>
          <w:tcPr>
            <w:tcW w:w="1701" w:type="dxa"/>
            <w:shd w:val="clear" w:color="auto" w:fill="FFFFFF"/>
          </w:tcPr>
          <w:p w14:paraId="3CA121A7"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Grigorjeva</w:t>
            </w:r>
          </w:p>
        </w:tc>
        <w:tc>
          <w:tcPr>
            <w:tcW w:w="1701" w:type="dxa"/>
            <w:shd w:val="clear" w:color="auto" w:fill="FFFFFF"/>
          </w:tcPr>
          <w:p w14:paraId="0C94D904"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Joanna</w:t>
            </w:r>
          </w:p>
        </w:tc>
        <w:tc>
          <w:tcPr>
            <w:tcW w:w="2835" w:type="dxa"/>
            <w:shd w:val="clear" w:color="auto" w:fill="FFFFFF"/>
          </w:tcPr>
          <w:p w14:paraId="45561DA8"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NSAC</w:t>
            </w:r>
          </w:p>
        </w:tc>
      </w:tr>
      <w:tr w:rsidR="00CA6852" w:rsidRPr="00CA6852" w14:paraId="2E0340AD" w14:textId="77777777">
        <w:trPr>
          <w:trHeight w:hRule="exact" w:val="714"/>
        </w:trPr>
        <w:tc>
          <w:tcPr>
            <w:tcW w:w="1701" w:type="dxa"/>
            <w:shd w:val="clear" w:color="auto" w:fill="FFFFFF"/>
          </w:tcPr>
          <w:p w14:paraId="466652F9"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Hamilton</w:t>
            </w:r>
          </w:p>
        </w:tc>
        <w:tc>
          <w:tcPr>
            <w:tcW w:w="1701" w:type="dxa"/>
            <w:shd w:val="clear" w:color="auto" w:fill="FFFFFF"/>
          </w:tcPr>
          <w:p w14:paraId="5E89F9B0"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Heather</w:t>
            </w:r>
          </w:p>
        </w:tc>
        <w:tc>
          <w:tcPr>
            <w:tcW w:w="2835" w:type="dxa"/>
            <w:shd w:val="clear" w:color="auto" w:fill="FFFFFF"/>
          </w:tcPr>
          <w:p w14:paraId="6E3CCFF8"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Client Earth</w:t>
            </w:r>
          </w:p>
        </w:tc>
      </w:tr>
      <w:tr w:rsidR="00CA6852" w:rsidRPr="00CA6852" w14:paraId="1A67FF12" w14:textId="77777777">
        <w:trPr>
          <w:trHeight w:hRule="exact" w:val="714"/>
        </w:trPr>
        <w:tc>
          <w:tcPr>
            <w:tcW w:w="1701" w:type="dxa"/>
            <w:shd w:val="clear" w:color="auto" w:fill="FFFFFF"/>
          </w:tcPr>
          <w:p w14:paraId="4DD4EFC2"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Hawkins</w:t>
            </w:r>
          </w:p>
        </w:tc>
        <w:tc>
          <w:tcPr>
            <w:tcW w:w="1701" w:type="dxa"/>
            <w:shd w:val="clear" w:color="auto" w:fill="FFFFFF"/>
          </w:tcPr>
          <w:p w14:paraId="7CFEC72E"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Tony</w:t>
            </w:r>
          </w:p>
        </w:tc>
        <w:tc>
          <w:tcPr>
            <w:tcW w:w="2835" w:type="dxa"/>
            <w:shd w:val="clear" w:color="auto" w:fill="FFFFFF"/>
          </w:tcPr>
          <w:p w14:paraId="552C2A84"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NSAC</w:t>
            </w:r>
          </w:p>
        </w:tc>
      </w:tr>
      <w:tr w:rsidR="003C50C4" w:rsidRPr="00CA6852" w14:paraId="4F5E2EBE" w14:textId="77777777">
        <w:trPr>
          <w:trHeight w:hRule="exact" w:val="714"/>
        </w:trPr>
        <w:tc>
          <w:tcPr>
            <w:tcW w:w="1701" w:type="dxa"/>
            <w:shd w:val="clear" w:color="auto" w:fill="FFFFFF"/>
          </w:tcPr>
          <w:p w14:paraId="22B10558" w14:textId="77777777" w:rsidR="003C50C4" w:rsidRPr="00CA6852" w:rsidRDefault="003C50C4" w:rsidP="00CA6852">
            <w:pPr>
              <w:pStyle w:val="TableParagraph"/>
              <w:spacing w:before="49"/>
              <w:jc w:val="center"/>
              <w:rPr>
                <w:rFonts w:ascii="Arial" w:hAnsi="Arial" w:cs="Arial"/>
                <w:color w:val="000000"/>
                <w:lang w:val="en-GB"/>
              </w:rPr>
            </w:pPr>
            <w:r>
              <w:rPr>
                <w:rFonts w:ascii="Arial" w:hAnsi="Arial" w:cs="Arial"/>
                <w:color w:val="000000"/>
                <w:lang w:val="en-GB"/>
              </w:rPr>
              <w:t>Hostens</w:t>
            </w:r>
          </w:p>
        </w:tc>
        <w:tc>
          <w:tcPr>
            <w:tcW w:w="1701" w:type="dxa"/>
            <w:shd w:val="clear" w:color="auto" w:fill="FFFFFF"/>
          </w:tcPr>
          <w:p w14:paraId="7C26D675" w14:textId="77777777" w:rsidR="003C50C4" w:rsidRPr="00CA6852" w:rsidRDefault="003C50C4" w:rsidP="00CA6852">
            <w:pPr>
              <w:pStyle w:val="TableParagraph"/>
              <w:spacing w:before="49"/>
              <w:ind w:left="110"/>
              <w:jc w:val="center"/>
              <w:rPr>
                <w:rFonts w:ascii="Arial" w:hAnsi="Arial" w:cs="Arial"/>
                <w:color w:val="000000"/>
                <w:lang w:val="en-GB"/>
              </w:rPr>
            </w:pPr>
            <w:r>
              <w:rPr>
                <w:rFonts w:ascii="Arial" w:hAnsi="Arial" w:cs="Arial"/>
                <w:color w:val="000000"/>
                <w:lang w:val="en-GB"/>
              </w:rPr>
              <w:t>Jan</w:t>
            </w:r>
          </w:p>
        </w:tc>
        <w:tc>
          <w:tcPr>
            <w:tcW w:w="2835" w:type="dxa"/>
            <w:shd w:val="clear" w:color="auto" w:fill="FFFFFF"/>
          </w:tcPr>
          <w:p w14:paraId="78FE505E" w14:textId="77777777" w:rsidR="003C50C4" w:rsidRPr="00CA6852" w:rsidRDefault="003C50C4" w:rsidP="00CA6852">
            <w:pPr>
              <w:pStyle w:val="TableParagraph"/>
              <w:spacing w:before="49"/>
              <w:ind w:left="110"/>
              <w:jc w:val="center"/>
              <w:rPr>
                <w:rFonts w:ascii="Arial" w:hAnsi="Arial" w:cs="Arial"/>
                <w:color w:val="000000"/>
                <w:lang w:val="en-GB"/>
              </w:rPr>
            </w:pPr>
            <w:r w:rsidRPr="00CA6852">
              <w:rPr>
                <w:rFonts w:ascii="Arial" w:hAnsi="Arial" w:cs="Arial"/>
                <w:color w:val="000000"/>
                <w:lang w:val="en-GB"/>
              </w:rPr>
              <w:t>Belgian Ministry of Environment</w:t>
            </w:r>
          </w:p>
        </w:tc>
      </w:tr>
      <w:tr w:rsidR="00CA6852" w:rsidRPr="00CA6852" w14:paraId="1F901D73" w14:textId="77777777">
        <w:trPr>
          <w:trHeight w:hRule="exact" w:val="714"/>
        </w:trPr>
        <w:tc>
          <w:tcPr>
            <w:tcW w:w="1701" w:type="dxa"/>
            <w:shd w:val="clear" w:color="auto" w:fill="FFFFFF"/>
          </w:tcPr>
          <w:p w14:paraId="6B340DF5"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Hostens</w:t>
            </w:r>
          </w:p>
        </w:tc>
        <w:tc>
          <w:tcPr>
            <w:tcW w:w="1701" w:type="dxa"/>
            <w:shd w:val="clear" w:color="auto" w:fill="FFFFFF"/>
          </w:tcPr>
          <w:p w14:paraId="47084F2A"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Kris</w:t>
            </w:r>
          </w:p>
        </w:tc>
        <w:tc>
          <w:tcPr>
            <w:tcW w:w="2835" w:type="dxa"/>
            <w:shd w:val="clear" w:color="auto" w:fill="FFFFFF"/>
          </w:tcPr>
          <w:p w14:paraId="24D1CC1C" w14:textId="77777777" w:rsidR="00CA6852" w:rsidRPr="00CA6852" w:rsidRDefault="00380EAC" w:rsidP="00CA6852">
            <w:pPr>
              <w:pStyle w:val="TableParagraph"/>
              <w:spacing w:before="49"/>
              <w:ind w:left="110"/>
              <w:jc w:val="center"/>
              <w:rPr>
                <w:rFonts w:ascii="Arial" w:hAnsi="Arial" w:cs="Arial"/>
                <w:lang w:val="en-GB"/>
              </w:rPr>
            </w:pPr>
            <w:r>
              <w:rPr>
                <w:rFonts w:ascii="Arial" w:hAnsi="Arial" w:cs="Arial"/>
                <w:color w:val="000000"/>
                <w:lang w:val="en-GB"/>
              </w:rPr>
              <w:t>ILVO</w:t>
            </w:r>
          </w:p>
        </w:tc>
      </w:tr>
      <w:tr w:rsidR="00CA6852" w:rsidRPr="00CA6852" w14:paraId="08678F1F" w14:textId="77777777">
        <w:trPr>
          <w:trHeight w:hRule="exact" w:val="714"/>
        </w:trPr>
        <w:tc>
          <w:tcPr>
            <w:tcW w:w="1701" w:type="dxa"/>
            <w:shd w:val="clear" w:color="auto" w:fill="FFFFFF"/>
          </w:tcPr>
          <w:p w14:paraId="76C67EFE"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Kyramarios</w:t>
            </w:r>
          </w:p>
        </w:tc>
        <w:tc>
          <w:tcPr>
            <w:tcW w:w="1701" w:type="dxa"/>
            <w:shd w:val="clear" w:color="auto" w:fill="FFFFFF"/>
          </w:tcPr>
          <w:p w14:paraId="3802DBA6"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Michael</w:t>
            </w:r>
          </w:p>
        </w:tc>
        <w:tc>
          <w:tcPr>
            <w:tcW w:w="2835" w:type="dxa"/>
            <w:shd w:val="clear" w:color="auto" w:fill="FFFFFF"/>
          </w:tcPr>
          <w:p w14:paraId="60B12F11"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Belgian Ministry of Environment</w:t>
            </w:r>
          </w:p>
        </w:tc>
      </w:tr>
      <w:tr w:rsidR="00CA6852" w:rsidRPr="00CA6852" w14:paraId="4456E4D1" w14:textId="77777777">
        <w:trPr>
          <w:trHeight w:hRule="exact" w:val="714"/>
        </w:trPr>
        <w:tc>
          <w:tcPr>
            <w:tcW w:w="1701" w:type="dxa"/>
            <w:shd w:val="clear" w:color="auto" w:fill="FFFFFF"/>
          </w:tcPr>
          <w:p w14:paraId="07EA59FA"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Puplesyte</w:t>
            </w:r>
          </w:p>
        </w:tc>
        <w:tc>
          <w:tcPr>
            <w:tcW w:w="1701" w:type="dxa"/>
            <w:shd w:val="clear" w:color="auto" w:fill="FFFFFF"/>
          </w:tcPr>
          <w:p w14:paraId="448A8AC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Julia</w:t>
            </w:r>
          </w:p>
        </w:tc>
        <w:tc>
          <w:tcPr>
            <w:tcW w:w="2835" w:type="dxa"/>
            <w:shd w:val="clear" w:color="auto" w:fill="FFFFFF"/>
          </w:tcPr>
          <w:p w14:paraId="11FA247F"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Belgian Ministry of Environment</w:t>
            </w:r>
          </w:p>
        </w:tc>
      </w:tr>
      <w:tr w:rsidR="00CA6852" w:rsidRPr="00CA6852" w14:paraId="26AA0E60" w14:textId="77777777">
        <w:trPr>
          <w:trHeight w:hRule="exact" w:val="714"/>
        </w:trPr>
        <w:tc>
          <w:tcPr>
            <w:tcW w:w="1701" w:type="dxa"/>
            <w:shd w:val="clear" w:color="auto" w:fill="FFFFFF"/>
          </w:tcPr>
          <w:p w14:paraId="5495071B"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Rabaut</w:t>
            </w:r>
          </w:p>
        </w:tc>
        <w:tc>
          <w:tcPr>
            <w:tcW w:w="1701" w:type="dxa"/>
            <w:shd w:val="clear" w:color="auto" w:fill="FFFFFF"/>
          </w:tcPr>
          <w:p w14:paraId="743E873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Marijn</w:t>
            </w:r>
          </w:p>
        </w:tc>
        <w:tc>
          <w:tcPr>
            <w:tcW w:w="2835" w:type="dxa"/>
            <w:shd w:val="clear" w:color="auto" w:fill="FFFFFF"/>
          </w:tcPr>
          <w:p w14:paraId="1DD59B0D"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Cabinet of the Belgian Secretary of State</w:t>
            </w:r>
          </w:p>
        </w:tc>
      </w:tr>
      <w:tr w:rsidR="00CA6852" w:rsidRPr="00CA6852" w14:paraId="4DB7AE51" w14:textId="77777777">
        <w:trPr>
          <w:trHeight w:hRule="exact" w:val="714"/>
        </w:trPr>
        <w:tc>
          <w:tcPr>
            <w:tcW w:w="1701" w:type="dxa"/>
            <w:shd w:val="clear" w:color="auto" w:fill="FFFFFF"/>
          </w:tcPr>
          <w:p w14:paraId="64F64BBE"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Stone</w:t>
            </w:r>
          </w:p>
        </w:tc>
        <w:tc>
          <w:tcPr>
            <w:tcW w:w="1701" w:type="dxa"/>
            <w:shd w:val="clear" w:color="auto" w:fill="FFFFFF"/>
          </w:tcPr>
          <w:p w14:paraId="57C4B42E"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Samuel</w:t>
            </w:r>
          </w:p>
        </w:tc>
        <w:tc>
          <w:tcPr>
            <w:tcW w:w="2835" w:type="dxa"/>
            <w:shd w:val="clear" w:color="auto" w:fill="FFFFFF"/>
          </w:tcPr>
          <w:p w14:paraId="304121BA"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MCS</w:t>
            </w:r>
          </w:p>
        </w:tc>
      </w:tr>
      <w:tr w:rsidR="00CA6852" w:rsidRPr="00CA6852" w14:paraId="0B799D93" w14:textId="77777777">
        <w:trPr>
          <w:trHeight w:hRule="exact" w:val="714"/>
        </w:trPr>
        <w:tc>
          <w:tcPr>
            <w:tcW w:w="1701" w:type="dxa"/>
            <w:shd w:val="clear" w:color="auto" w:fill="FFFFFF"/>
          </w:tcPr>
          <w:p w14:paraId="1AA739C9"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Teisseire</w:t>
            </w:r>
          </w:p>
        </w:tc>
        <w:tc>
          <w:tcPr>
            <w:tcW w:w="1701" w:type="dxa"/>
            <w:shd w:val="clear" w:color="auto" w:fill="FFFFFF"/>
          </w:tcPr>
          <w:p w14:paraId="1C609E20"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Nicolas</w:t>
            </w:r>
          </w:p>
        </w:tc>
        <w:tc>
          <w:tcPr>
            <w:tcW w:w="2835" w:type="dxa"/>
            <w:shd w:val="clear" w:color="auto" w:fill="FFFFFF"/>
          </w:tcPr>
          <w:p w14:paraId="419EFDC1"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Blue Fish</w:t>
            </w:r>
          </w:p>
        </w:tc>
      </w:tr>
      <w:tr w:rsidR="00CA6852" w:rsidRPr="00CA6852" w14:paraId="2ACD224C" w14:textId="77777777">
        <w:trPr>
          <w:trHeight w:hRule="exact" w:val="714"/>
        </w:trPr>
        <w:tc>
          <w:tcPr>
            <w:tcW w:w="1701" w:type="dxa"/>
            <w:shd w:val="clear" w:color="auto" w:fill="FFFFFF"/>
          </w:tcPr>
          <w:p w14:paraId="539EB651"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Van Gaever</w:t>
            </w:r>
          </w:p>
        </w:tc>
        <w:tc>
          <w:tcPr>
            <w:tcW w:w="1701" w:type="dxa"/>
            <w:shd w:val="clear" w:color="auto" w:fill="FFFFFF"/>
          </w:tcPr>
          <w:p w14:paraId="0AC517D2"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Saskia</w:t>
            </w:r>
          </w:p>
        </w:tc>
        <w:tc>
          <w:tcPr>
            <w:tcW w:w="2835" w:type="dxa"/>
            <w:shd w:val="clear" w:color="auto" w:fill="FFFFFF"/>
          </w:tcPr>
          <w:p w14:paraId="462F975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Belgian Ministry of Environment</w:t>
            </w:r>
          </w:p>
        </w:tc>
      </w:tr>
      <w:tr w:rsidR="00CA6852" w:rsidRPr="00CA6852" w14:paraId="1BD36AC9" w14:textId="77777777">
        <w:trPr>
          <w:trHeight w:hRule="exact" w:val="714"/>
        </w:trPr>
        <w:tc>
          <w:tcPr>
            <w:tcW w:w="1701" w:type="dxa"/>
            <w:shd w:val="clear" w:color="auto" w:fill="FFFFFF"/>
          </w:tcPr>
          <w:p w14:paraId="1AA97A9B"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Viera</w:t>
            </w:r>
          </w:p>
        </w:tc>
        <w:tc>
          <w:tcPr>
            <w:tcW w:w="1701" w:type="dxa"/>
            <w:shd w:val="clear" w:color="auto" w:fill="FFFFFF"/>
          </w:tcPr>
          <w:p w14:paraId="72D13A3D"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Antony</w:t>
            </w:r>
          </w:p>
        </w:tc>
        <w:tc>
          <w:tcPr>
            <w:tcW w:w="2835" w:type="dxa"/>
            <w:shd w:val="clear" w:color="auto" w:fill="FFFFFF"/>
          </w:tcPr>
          <w:p w14:paraId="5FB41D4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CRPMEM Nord Pas de Calais Picardie</w:t>
            </w:r>
          </w:p>
        </w:tc>
      </w:tr>
      <w:tr w:rsidR="00CA6852" w:rsidRPr="00CA6852" w14:paraId="21830772" w14:textId="77777777">
        <w:trPr>
          <w:trHeight w:hRule="exact" w:val="714"/>
        </w:trPr>
        <w:tc>
          <w:tcPr>
            <w:tcW w:w="1701" w:type="dxa"/>
            <w:shd w:val="clear" w:color="auto" w:fill="FFFFFF"/>
          </w:tcPr>
          <w:p w14:paraId="18B45386" w14:textId="77777777" w:rsidR="00CA6852" w:rsidRPr="00CA6852" w:rsidRDefault="00CA6852" w:rsidP="00CA6852">
            <w:pPr>
              <w:pStyle w:val="TableParagraph"/>
              <w:spacing w:before="49"/>
              <w:jc w:val="center"/>
              <w:rPr>
                <w:rFonts w:ascii="Arial" w:hAnsi="Arial" w:cs="Arial"/>
                <w:lang w:val="en-GB"/>
              </w:rPr>
            </w:pPr>
            <w:r w:rsidRPr="00CA6852">
              <w:rPr>
                <w:rFonts w:ascii="Arial" w:hAnsi="Arial" w:cs="Arial"/>
                <w:color w:val="000000"/>
                <w:lang w:val="en-GB"/>
              </w:rPr>
              <w:t>Visser</w:t>
            </w:r>
          </w:p>
        </w:tc>
        <w:tc>
          <w:tcPr>
            <w:tcW w:w="1701" w:type="dxa"/>
            <w:shd w:val="clear" w:color="auto" w:fill="FFFFFF"/>
          </w:tcPr>
          <w:p w14:paraId="58F4FF7D"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Pim</w:t>
            </w:r>
          </w:p>
        </w:tc>
        <w:tc>
          <w:tcPr>
            <w:tcW w:w="2835" w:type="dxa"/>
            <w:shd w:val="clear" w:color="auto" w:fill="FFFFFF"/>
          </w:tcPr>
          <w:p w14:paraId="49FA4703" w14:textId="77777777" w:rsidR="00CA6852" w:rsidRPr="00CA6852" w:rsidRDefault="00CA6852" w:rsidP="00CA6852">
            <w:pPr>
              <w:pStyle w:val="TableParagraph"/>
              <w:spacing w:before="49"/>
              <w:ind w:left="110"/>
              <w:jc w:val="center"/>
              <w:rPr>
                <w:rFonts w:ascii="Arial" w:hAnsi="Arial" w:cs="Arial"/>
                <w:lang w:val="en-GB"/>
              </w:rPr>
            </w:pPr>
            <w:r w:rsidRPr="00CA6852">
              <w:rPr>
                <w:rFonts w:ascii="Arial" w:hAnsi="Arial" w:cs="Arial"/>
                <w:color w:val="000000"/>
                <w:lang w:val="en-GB"/>
              </w:rPr>
              <w:t>VisNed</w:t>
            </w:r>
          </w:p>
        </w:tc>
      </w:tr>
      <w:tr w:rsidR="003C50C4" w:rsidRPr="00CA6852" w14:paraId="4D8284D3" w14:textId="77777777">
        <w:trPr>
          <w:trHeight w:hRule="exact" w:val="714"/>
        </w:trPr>
        <w:tc>
          <w:tcPr>
            <w:tcW w:w="1701" w:type="dxa"/>
            <w:shd w:val="clear" w:color="auto" w:fill="FFFFFF"/>
          </w:tcPr>
          <w:p w14:paraId="3AC17396" w14:textId="77777777" w:rsidR="003C50C4" w:rsidRPr="00CA6852" w:rsidRDefault="003C50C4" w:rsidP="00CA6852">
            <w:pPr>
              <w:pStyle w:val="TableParagraph"/>
              <w:spacing w:before="49"/>
              <w:jc w:val="center"/>
              <w:rPr>
                <w:rFonts w:ascii="Arial" w:hAnsi="Arial" w:cs="Arial"/>
                <w:color w:val="000000"/>
                <w:lang w:val="en-GB"/>
              </w:rPr>
            </w:pPr>
            <w:r>
              <w:rPr>
                <w:rFonts w:ascii="Arial" w:hAnsi="Arial" w:cs="Arial"/>
                <w:color w:val="000000"/>
                <w:lang w:val="en-GB"/>
              </w:rPr>
              <w:t>Wichmann</w:t>
            </w:r>
          </w:p>
        </w:tc>
        <w:tc>
          <w:tcPr>
            <w:tcW w:w="1701" w:type="dxa"/>
            <w:shd w:val="clear" w:color="auto" w:fill="FFFFFF"/>
          </w:tcPr>
          <w:p w14:paraId="2A7C0CCC" w14:textId="77777777" w:rsidR="003C50C4" w:rsidRPr="00CA6852" w:rsidRDefault="003C50C4" w:rsidP="00CA6852">
            <w:pPr>
              <w:pStyle w:val="TableParagraph"/>
              <w:spacing w:before="49"/>
              <w:ind w:left="110"/>
              <w:jc w:val="center"/>
              <w:rPr>
                <w:rFonts w:ascii="Arial" w:hAnsi="Arial" w:cs="Arial"/>
                <w:color w:val="000000"/>
                <w:lang w:val="en-GB"/>
              </w:rPr>
            </w:pPr>
            <w:r>
              <w:rPr>
                <w:rFonts w:ascii="Arial" w:hAnsi="Arial" w:cs="Arial"/>
                <w:color w:val="000000"/>
                <w:lang w:val="en-GB"/>
              </w:rPr>
              <w:t>Niels</w:t>
            </w:r>
          </w:p>
        </w:tc>
        <w:tc>
          <w:tcPr>
            <w:tcW w:w="2835" w:type="dxa"/>
            <w:shd w:val="clear" w:color="auto" w:fill="FFFFFF"/>
          </w:tcPr>
          <w:p w14:paraId="7403B6A3" w14:textId="77777777" w:rsidR="003C50C4" w:rsidRPr="00CA6852" w:rsidRDefault="003C50C4" w:rsidP="00CA6852">
            <w:pPr>
              <w:pStyle w:val="TableParagraph"/>
              <w:spacing w:before="49"/>
              <w:ind w:left="110"/>
              <w:jc w:val="center"/>
              <w:rPr>
                <w:rFonts w:ascii="Arial" w:hAnsi="Arial" w:cs="Arial"/>
                <w:color w:val="000000"/>
                <w:lang w:val="en-GB"/>
              </w:rPr>
            </w:pPr>
            <w:r>
              <w:rPr>
                <w:rFonts w:ascii="Arial" w:hAnsi="Arial" w:cs="Arial"/>
                <w:color w:val="000000"/>
                <w:lang w:val="en-GB"/>
              </w:rPr>
              <w:t>Danish Fishermen’s PO</w:t>
            </w:r>
          </w:p>
        </w:tc>
      </w:tr>
    </w:tbl>
    <w:p w14:paraId="232E6500" w14:textId="77777777" w:rsidR="00D0203A" w:rsidRPr="00CA6852" w:rsidRDefault="00D0203A" w:rsidP="00D0203A"/>
    <w:sectPr w:rsidR="00D0203A" w:rsidRPr="00CA6852" w:rsidSect="00D020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A6982" w14:textId="77777777" w:rsidR="004D6B1D" w:rsidRDefault="004D6B1D" w:rsidP="00D0203A">
      <w:pPr>
        <w:spacing w:after="0" w:line="240" w:lineRule="auto"/>
      </w:pPr>
      <w:r>
        <w:separator/>
      </w:r>
    </w:p>
  </w:endnote>
  <w:endnote w:type="continuationSeparator" w:id="0">
    <w:p w14:paraId="6E88A88C" w14:textId="77777777" w:rsidR="004D6B1D" w:rsidRDefault="004D6B1D" w:rsidP="00D0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88"/>
      <w:gridCol w:w="5908"/>
      <w:gridCol w:w="1029"/>
      <w:gridCol w:w="522"/>
      <w:gridCol w:w="479"/>
    </w:tblGrid>
    <w:tr w:rsidR="004D6B1D" w14:paraId="47C9F38B" w14:textId="77777777">
      <w:tc>
        <w:tcPr>
          <w:tcW w:w="1101" w:type="dxa"/>
          <w:tcBorders>
            <w:top w:val="nil"/>
            <w:right w:val="nil"/>
          </w:tcBorders>
        </w:tcPr>
        <w:p w14:paraId="04260F5C" w14:textId="77777777" w:rsidR="004D6B1D" w:rsidRPr="003D1725" w:rsidRDefault="004D6B1D">
          <w:pPr>
            <w:pStyle w:val="Footer"/>
            <w:jc w:val="right"/>
            <w:rPr>
              <w:b/>
              <w:color w:val="006666"/>
              <w:sz w:val="20"/>
              <w:szCs w:val="20"/>
            </w:rPr>
          </w:pPr>
          <w:r w:rsidRPr="003D1725">
            <w:rPr>
              <w:b/>
              <w:color w:val="006666"/>
              <w:sz w:val="20"/>
              <w:szCs w:val="20"/>
            </w:rPr>
            <w:t xml:space="preserve">Page </w:t>
          </w:r>
          <w:r w:rsidR="00585F3A">
            <w:fldChar w:fldCharType="begin"/>
          </w:r>
          <w:r>
            <w:instrText xml:space="preserve"> PAGE   \* MERGEFORMAT </w:instrText>
          </w:r>
          <w:r w:rsidR="00585F3A">
            <w:fldChar w:fldCharType="separate"/>
          </w:r>
          <w:r w:rsidR="004D0DAA" w:rsidRPr="004D0DAA">
            <w:rPr>
              <w:b/>
              <w:noProof/>
              <w:color w:val="006666"/>
              <w:sz w:val="20"/>
              <w:szCs w:val="20"/>
            </w:rPr>
            <w:t>1</w:t>
          </w:r>
          <w:r w:rsidR="00585F3A">
            <w:rPr>
              <w:b/>
              <w:noProof/>
              <w:color w:val="006666"/>
              <w:sz w:val="20"/>
              <w:szCs w:val="20"/>
            </w:rPr>
            <w:fldChar w:fldCharType="end"/>
          </w:r>
        </w:p>
      </w:tc>
      <w:tc>
        <w:tcPr>
          <w:tcW w:w="6088" w:type="dxa"/>
          <w:tcBorders>
            <w:top w:val="nil"/>
            <w:left w:val="nil"/>
            <w:right w:val="nil"/>
          </w:tcBorders>
          <w:shd w:val="clear" w:color="auto" w:fill="DAEEF3"/>
        </w:tcPr>
        <w:p w14:paraId="4327DDD7" w14:textId="77777777" w:rsidR="004D6B1D" w:rsidRPr="003D1725" w:rsidRDefault="004D6B1D">
          <w:pPr>
            <w:pStyle w:val="Footer"/>
          </w:pPr>
        </w:p>
      </w:tc>
      <w:tc>
        <w:tcPr>
          <w:tcW w:w="1035" w:type="dxa"/>
          <w:tcBorders>
            <w:top w:val="nil"/>
            <w:left w:val="nil"/>
            <w:right w:val="single" w:sz="4" w:space="0" w:color="auto"/>
          </w:tcBorders>
        </w:tcPr>
        <w:p w14:paraId="6B765B64" w14:textId="77777777" w:rsidR="004D6B1D" w:rsidRPr="003D1725" w:rsidRDefault="004D6B1D">
          <w:pPr>
            <w:pStyle w:val="Footer"/>
            <w:rPr>
              <w:b/>
              <w:color w:val="006666"/>
            </w:rPr>
          </w:pPr>
          <w:r>
            <w:rPr>
              <w:b/>
              <w:color w:val="006666"/>
            </w:rPr>
            <w:t>NS</w:t>
          </w:r>
          <w:r w:rsidRPr="003D1725">
            <w:rPr>
              <w:b/>
              <w:color w:val="006666"/>
            </w:rPr>
            <w:t>AC</w:t>
          </w:r>
        </w:p>
      </w:tc>
      <w:tc>
        <w:tcPr>
          <w:tcW w:w="531" w:type="dxa"/>
          <w:tcBorders>
            <w:top w:val="nil"/>
            <w:left w:val="single" w:sz="4" w:space="0" w:color="auto"/>
            <w:right w:val="nil"/>
          </w:tcBorders>
          <w:shd w:val="clear" w:color="auto" w:fill="006666"/>
        </w:tcPr>
        <w:p w14:paraId="369D06D0" w14:textId="77777777" w:rsidR="004D6B1D" w:rsidRPr="003D1725" w:rsidRDefault="004D6B1D" w:rsidP="00D0203A">
          <w:pPr>
            <w:pStyle w:val="Footer"/>
            <w:rPr>
              <w:b/>
              <w:color w:val="006666"/>
            </w:rPr>
          </w:pPr>
        </w:p>
      </w:tc>
      <w:tc>
        <w:tcPr>
          <w:tcW w:w="487" w:type="dxa"/>
          <w:tcBorders>
            <w:top w:val="nil"/>
            <w:left w:val="nil"/>
          </w:tcBorders>
          <w:shd w:val="clear" w:color="auto" w:fill="DAEEF3"/>
        </w:tcPr>
        <w:p w14:paraId="411B1A3A" w14:textId="77777777" w:rsidR="004D6B1D" w:rsidRPr="003D1725" w:rsidRDefault="004D6B1D">
          <w:pPr>
            <w:pStyle w:val="Footer"/>
          </w:pPr>
        </w:p>
      </w:tc>
    </w:tr>
  </w:tbl>
  <w:p w14:paraId="2990F87C" w14:textId="77777777" w:rsidR="004D6B1D" w:rsidRDefault="004D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75C9" w14:textId="77777777" w:rsidR="004D6B1D" w:rsidRDefault="004D6B1D" w:rsidP="00D0203A">
      <w:pPr>
        <w:spacing w:after="0" w:line="240" w:lineRule="auto"/>
      </w:pPr>
      <w:r>
        <w:separator/>
      </w:r>
    </w:p>
  </w:footnote>
  <w:footnote w:type="continuationSeparator" w:id="0">
    <w:p w14:paraId="7AB4CB01" w14:textId="77777777" w:rsidR="004D6B1D" w:rsidRDefault="004D6B1D" w:rsidP="00D0203A">
      <w:pPr>
        <w:spacing w:after="0" w:line="240" w:lineRule="auto"/>
      </w:pPr>
      <w:r>
        <w:continuationSeparator/>
      </w:r>
    </w:p>
  </w:footnote>
  <w:footnote w:id="1">
    <w:p w14:paraId="2E145ECC" w14:textId="77777777" w:rsidR="000D0F8D" w:rsidRPr="000D0F8D" w:rsidRDefault="000D0F8D">
      <w:pPr>
        <w:pStyle w:val="FootnoteText"/>
      </w:pPr>
      <w:r>
        <w:rPr>
          <w:rStyle w:val="FootnoteReference"/>
        </w:rPr>
        <w:footnoteRef/>
      </w:r>
      <w:r>
        <w:t xml:space="preserve"> </w:t>
      </w:r>
      <w:r w:rsidRPr="000D0F8D">
        <w:t>The t</w:t>
      </w:r>
      <w:r w:rsidRPr="00836A80">
        <w:t xml:space="preserve">erm ‘protection criterion’ refers to the so-called ’20-60% criterion’ used by the European Commission for assessing Member State proposals for a Natura 200 area under the Habitats Directive. For more information see Commission document Hab97/2 rev4.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982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7BB0"/>
    <w:multiLevelType w:val="multilevel"/>
    <w:tmpl w:val="93E2C45C"/>
    <w:lvl w:ilvl="0">
      <w:start w:val="1"/>
      <w:numFmt w:val="decimal"/>
      <w:lvlText w:val="%1."/>
      <w:lvlJc w:val="left"/>
      <w:pPr>
        <w:tabs>
          <w:tab w:val="num" w:pos="720"/>
        </w:tabs>
        <w:ind w:left="720" w:hanging="360"/>
      </w:pPr>
      <w:rPr>
        <w:b/>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233845"/>
    <w:multiLevelType w:val="hybridMultilevel"/>
    <w:tmpl w:val="B6B4C356"/>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Wingdings"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Wingdings"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Wingding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Wingdings"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Wingdings"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F4C01"/>
    <w:multiLevelType w:val="hybridMultilevel"/>
    <w:tmpl w:val="1E028570"/>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7"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5728"/>
    <w:multiLevelType w:val="hybridMultilevel"/>
    <w:tmpl w:val="4BFA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691F1E"/>
    <w:multiLevelType w:val="hybridMultilevel"/>
    <w:tmpl w:val="120CB028"/>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11" w15:restartNumberingAfterBreak="0">
    <w:nsid w:val="1CE70EEE"/>
    <w:multiLevelType w:val="hybridMultilevel"/>
    <w:tmpl w:val="FF96C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C3EEC"/>
    <w:multiLevelType w:val="hybridMultilevel"/>
    <w:tmpl w:val="0C94F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E0526"/>
    <w:multiLevelType w:val="hybridMultilevel"/>
    <w:tmpl w:val="529212A2"/>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4" w15:restartNumberingAfterBreak="0">
    <w:nsid w:val="244063AC"/>
    <w:multiLevelType w:val="hybridMultilevel"/>
    <w:tmpl w:val="F3DCD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E52BC6"/>
    <w:multiLevelType w:val="hybridMultilevel"/>
    <w:tmpl w:val="E210246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alibri"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alibri"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A30D2B"/>
    <w:multiLevelType w:val="hybridMultilevel"/>
    <w:tmpl w:val="AF5C0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4545B"/>
    <w:multiLevelType w:val="multilevel"/>
    <w:tmpl w:val="93E2C45C"/>
    <w:lvl w:ilvl="0">
      <w:start w:val="1"/>
      <w:numFmt w:val="decimal"/>
      <w:lvlText w:val="%1."/>
      <w:lvlJc w:val="left"/>
      <w:pPr>
        <w:tabs>
          <w:tab w:val="num" w:pos="720"/>
        </w:tabs>
        <w:ind w:left="720" w:hanging="360"/>
      </w:pPr>
      <w:rPr>
        <w:b/>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83D2F30"/>
    <w:multiLevelType w:val="hybridMultilevel"/>
    <w:tmpl w:val="EF4A7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632256"/>
    <w:multiLevelType w:val="hybridMultilevel"/>
    <w:tmpl w:val="E7CE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741770"/>
    <w:multiLevelType w:val="hybridMultilevel"/>
    <w:tmpl w:val="96A6E61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70DAC"/>
    <w:multiLevelType w:val="hybridMultilevel"/>
    <w:tmpl w:val="4B28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63A86"/>
    <w:multiLevelType w:val="hybridMultilevel"/>
    <w:tmpl w:val="BE74F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alibri"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alibri"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alibri"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60D64716"/>
    <w:multiLevelType w:val="hybridMultilevel"/>
    <w:tmpl w:val="5D60C2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2C55ACB"/>
    <w:multiLevelType w:val="hybridMultilevel"/>
    <w:tmpl w:val="B986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7269A"/>
    <w:multiLevelType w:val="hybridMultilevel"/>
    <w:tmpl w:val="42787406"/>
    <w:lvl w:ilvl="0" w:tplc="0409000F">
      <w:start w:val="1"/>
      <w:numFmt w:val="decimal"/>
      <w:lvlText w:val="%1."/>
      <w:lvlJc w:val="left"/>
      <w:pPr>
        <w:ind w:left="1293" w:hanging="360"/>
      </w:p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29"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A229C"/>
    <w:multiLevelType w:val="hybridMultilevel"/>
    <w:tmpl w:val="C2C697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FE566AA"/>
    <w:multiLevelType w:val="hybridMultilevel"/>
    <w:tmpl w:val="F9D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AC756A"/>
    <w:multiLevelType w:val="hybridMultilevel"/>
    <w:tmpl w:val="509CD362"/>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34"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8871457"/>
    <w:multiLevelType w:val="hybridMultilevel"/>
    <w:tmpl w:val="4CB89C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34"/>
  </w:num>
  <w:num w:numId="4">
    <w:abstractNumId w:val="29"/>
  </w:num>
  <w:num w:numId="5">
    <w:abstractNumId w:val="18"/>
  </w:num>
  <w:num w:numId="6">
    <w:abstractNumId w:val="3"/>
  </w:num>
  <w:num w:numId="7">
    <w:abstractNumId w:val="17"/>
  </w:num>
  <w:num w:numId="8">
    <w:abstractNumId w:val="16"/>
  </w:num>
  <w:num w:numId="9">
    <w:abstractNumId w:val="9"/>
  </w:num>
  <w:num w:numId="10">
    <w:abstractNumId w:val="0"/>
  </w:num>
  <w:num w:numId="11">
    <w:abstractNumId w:val="7"/>
  </w:num>
  <w:num w:numId="12">
    <w:abstractNumId w:val="21"/>
  </w:num>
  <w:num w:numId="13">
    <w:abstractNumId w:val="32"/>
  </w:num>
  <w:num w:numId="14">
    <w:abstractNumId w:val="14"/>
  </w:num>
  <w:num w:numId="15">
    <w:abstractNumId w:val="20"/>
  </w:num>
  <w:num w:numId="16">
    <w:abstractNumId w:val="1"/>
  </w:num>
  <w:num w:numId="17">
    <w:abstractNumId w:val="19"/>
  </w:num>
  <w:num w:numId="18">
    <w:abstractNumId w:val="11"/>
  </w:num>
  <w:num w:numId="19">
    <w:abstractNumId w:val="24"/>
  </w:num>
  <w:num w:numId="20">
    <w:abstractNumId w:val="8"/>
  </w:num>
  <w:num w:numId="21">
    <w:abstractNumId w:val="33"/>
  </w:num>
  <w:num w:numId="22">
    <w:abstractNumId w:val="22"/>
  </w:num>
  <w:num w:numId="23">
    <w:abstractNumId w:val="13"/>
  </w:num>
  <w:num w:numId="24">
    <w:abstractNumId w:val="28"/>
  </w:num>
  <w:num w:numId="25">
    <w:abstractNumId w:val="30"/>
  </w:num>
  <w:num w:numId="26">
    <w:abstractNumId w:val="12"/>
  </w:num>
  <w:num w:numId="27">
    <w:abstractNumId w:val="2"/>
  </w:num>
  <w:num w:numId="28">
    <w:abstractNumId w:val="6"/>
  </w:num>
  <w:num w:numId="29">
    <w:abstractNumId w:val="35"/>
  </w:num>
  <w:num w:numId="30">
    <w:abstractNumId w:val="26"/>
  </w:num>
  <w:num w:numId="31">
    <w:abstractNumId w:val="10"/>
  </w:num>
  <w:num w:numId="32">
    <w:abstractNumId w:val="25"/>
  </w:num>
  <w:num w:numId="33">
    <w:abstractNumId w:val="15"/>
  </w:num>
  <w:num w:numId="34">
    <w:abstractNumId w:val="27"/>
  </w:num>
  <w:num w:numId="35">
    <w:abstractNumId w:val="3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15F87"/>
    <w:rsid w:val="00027367"/>
    <w:rsid w:val="00035292"/>
    <w:rsid w:val="000420E0"/>
    <w:rsid w:val="000707E7"/>
    <w:rsid w:val="00092810"/>
    <w:rsid w:val="000A1433"/>
    <w:rsid w:val="000B36B1"/>
    <w:rsid w:val="000D0F8D"/>
    <w:rsid w:val="000F6F62"/>
    <w:rsid w:val="00102A38"/>
    <w:rsid w:val="00115470"/>
    <w:rsid w:val="00163F18"/>
    <w:rsid w:val="001750CB"/>
    <w:rsid w:val="001D1D05"/>
    <w:rsid w:val="001F4F27"/>
    <w:rsid w:val="00231AA3"/>
    <w:rsid w:val="00261853"/>
    <w:rsid w:val="002645CD"/>
    <w:rsid w:val="00286DF1"/>
    <w:rsid w:val="00345362"/>
    <w:rsid w:val="00380EAC"/>
    <w:rsid w:val="003B5C83"/>
    <w:rsid w:val="003C3B5D"/>
    <w:rsid w:val="003C50C4"/>
    <w:rsid w:val="003D0329"/>
    <w:rsid w:val="00427596"/>
    <w:rsid w:val="00441D4F"/>
    <w:rsid w:val="00457C15"/>
    <w:rsid w:val="00466F1D"/>
    <w:rsid w:val="004822CA"/>
    <w:rsid w:val="004D0DAA"/>
    <w:rsid w:val="004D6B1D"/>
    <w:rsid w:val="00521EF7"/>
    <w:rsid w:val="00585F3A"/>
    <w:rsid w:val="00587A9E"/>
    <w:rsid w:val="005908BB"/>
    <w:rsid w:val="005A7BC9"/>
    <w:rsid w:val="0060441B"/>
    <w:rsid w:val="006050C3"/>
    <w:rsid w:val="006061C9"/>
    <w:rsid w:val="006463B3"/>
    <w:rsid w:val="00653A07"/>
    <w:rsid w:val="0066441A"/>
    <w:rsid w:val="006826FA"/>
    <w:rsid w:val="006B0644"/>
    <w:rsid w:val="006C6DEA"/>
    <w:rsid w:val="006F55F3"/>
    <w:rsid w:val="006F666C"/>
    <w:rsid w:val="0070089C"/>
    <w:rsid w:val="00725C51"/>
    <w:rsid w:val="00760600"/>
    <w:rsid w:val="00771F15"/>
    <w:rsid w:val="007A6064"/>
    <w:rsid w:val="007D3A1E"/>
    <w:rsid w:val="007D49BC"/>
    <w:rsid w:val="007E2EFF"/>
    <w:rsid w:val="007F08C8"/>
    <w:rsid w:val="00801065"/>
    <w:rsid w:val="008360B8"/>
    <w:rsid w:val="00836A80"/>
    <w:rsid w:val="008514C0"/>
    <w:rsid w:val="008B68C2"/>
    <w:rsid w:val="008D67DE"/>
    <w:rsid w:val="009618BF"/>
    <w:rsid w:val="00971229"/>
    <w:rsid w:val="00993F51"/>
    <w:rsid w:val="009D02E7"/>
    <w:rsid w:val="00A07D22"/>
    <w:rsid w:val="00A16170"/>
    <w:rsid w:val="00A22364"/>
    <w:rsid w:val="00AA0808"/>
    <w:rsid w:val="00AA340C"/>
    <w:rsid w:val="00AB6411"/>
    <w:rsid w:val="00AC676A"/>
    <w:rsid w:val="00AF645A"/>
    <w:rsid w:val="00B2448D"/>
    <w:rsid w:val="00B415C6"/>
    <w:rsid w:val="00B558CA"/>
    <w:rsid w:val="00B91460"/>
    <w:rsid w:val="00BC3547"/>
    <w:rsid w:val="00BD4E2C"/>
    <w:rsid w:val="00C22918"/>
    <w:rsid w:val="00C27324"/>
    <w:rsid w:val="00C37A9E"/>
    <w:rsid w:val="00C7784B"/>
    <w:rsid w:val="00CA28AA"/>
    <w:rsid w:val="00CA6852"/>
    <w:rsid w:val="00CB380B"/>
    <w:rsid w:val="00CF2CCB"/>
    <w:rsid w:val="00D0203A"/>
    <w:rsid w:val="00D22539"/>
    <w:rsid w:val="00D403B8"/>
    <w:rsid w:val="00DD04B2"/>
    <w:rsid w:val="00DD347E"/>
    <w:rsid w:val="00DD7F8F"/>
    <w:rsid w:val="00DE3ADA"/>
    <w:rsid w:val="00DE726E"/>
    <w:rsid w:val="00E0741E"/>
    <w:rsid w:val="00E10FB9"/>
    <w:rsid w:val="00E160B4"/>
    <w:rsid w:val="00E22073"/>
    <w:rsid w:val="00E93FC4"/>
    <w:rsid w:val="00EB2ADE"/>
    <w:rsid w:val="00EC56A8"/>
    <w:rsid w:val="00EE7828"/>
    <w:rsid w:val="00EF7387"/>
    <w:rsid w:val="00F1478F"/>
    <w:rsid w:val="00F30E6F"/>
    <w:rsid w:val="00F61944"/>
    <w:rsid w:val="00F70280"/>
    <w:rsid w:val="00F7586B"/>
    <w:rsid w:val="00F86EEA"/>
    <w:rsid w:val="00FB08E1"/>
    <w:rsid w:val="00FB60A5"/>
    <w:rsid w:val="00FE3A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666422"/>
  <w15:docId w15:val="{4EE50FCD-C8AA-405D-AC52-E239AC1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
    <w:qFormat/>
    <w:rsid w:val="00873403"/>
    <w:pPr>
      <w:keepNext/>
      <w:spacing w:before="240" w:after="60"/>
      <w:jc w:val="center"/>
      <w:outlineLvl w:val="0"/>
    </w:pPr>
    <w:rPr>
      <w:rFonts w:eastAsia="Times New Roman"/>
      <w:b/>
      <w:bCs/>
      <w:kern w:val="32"/>
      <w:sz w:val="28"/>
      <w:szCs w:val="40"/>
    </w:rPr>
  </w:style>
  <w:style w:type="paragraph" w:styleId="Heading2">
    <w:name w:val="heading 2"/>
    <w:basedOn w:val="Normal"/>
    <w:next w:val="Normal"/>
    <w:link w:val="Heading2Char"/>
    <w:autoRedefine/>
    <w:uiPriority w:val="9"/>
    <w:qFormat/>
    <w:rsid w:val="00873403"/>
    <w:pPr>
      <w:ind w:firstLine="720"/>
      <w:outlineLvl w:val="1"/>
    </w:pPr>
    <w:rPr>
      <w:sz w:val="24"/>
      <w:szCs w:val="20"/>
    </w:rPr>
  </w:style>
  <w:style w:type="paragraph" w:styleId="Heading3">
    <w:name w:val="heading 3"/>
    <w:basedOn w:val="Normal"/>
    <w:next w:val="Normal"/>
    <w:link w:val="Heading3Char"/>
    <w:uiPriority w:val="9"/>
    <w:qFormat/>
    <w:rsid w:val="00E95E37"/>
    <w:pPr>
      <w:keepNext/>
      <w:keepLines/>
      <w:spacing w:before="200" w:after="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autoRedefine/>
    <w:qFormat/>
    <w:rsid w:val="002020A7"/>
    <w:pPr>
      <w:tabs>
        <w:tab w:val="left" w:pos="1134"/>
        <w:tab w:val="left" w:pos="5103"/>
      </w:tabs>
      <w:spacing w:line="276" w:lineRule="auto"/>
      <w:ind w:left="567" w:hanging="567"/>
      <w:jc w:val="both"/>
    </w:pPr>
    <w:rPr>
      <w:rFonts w:ascii="Arial" w:hAnsi="Arial"/>
      <w:sz w:val="22"/>
      <w:lang w:val="en-GB" w:bidi="en-US"/>
    </w:rPr>
  </w:style>
  <w:style w:type="character" w:customStyle="1" w:styleId="Heading1Char">
    <w:name w:val="Heading 1 Char"/>
    <w:link w:val="Heading1"/>
    <w:uiPriority w:val="9"/>
    <w:rsid w:val="00873403"/>
    <w:rPr>
      <w:rFonts w:ascii="Arial" w:eastAsia="Times New Roman" w:hAnsi="Arial"/>
      <w:b/>
      <w:bCs/>
      <w:kern w:val="32"/>
      <w:sz w:val="28"/>
      <w:szCs w:val="40"/>
      <w:lang w:eastAsia="en-US"/>
    </w:rPr>
  </w:style>
  <w:style w:type="paragraph" w:customStyle="1" w:styleId="MediumGrid1-Accent21">
    <w:name w:val="Medium Grid 1 - Accent 21"/>
    <w:basedOn w:val="Normal"/>
    <w:uiPriority w:val="34"/>
    <w:qFormat/>
    <w:rsid w:val="00B24FEB"/>
    <w:pPr>
      <w:ind w:left="720"/>
    </w:pPr>
  </w:style>
  <w:style w:type="paragraph" w:customStyle="1" w:styleId="GridTable31">
    <w:name w:val="Grid Table 31"/>
    <w:basedOn w:val="Heading1"/>
    <w:next w:val="Normal"/>
    <w:uiPriority w:val="39"/>
    <w:qFormat/>
    <w:rsid w:val="00B24FEB"/>
    <w:pPr>
      <w:keepLines/>
      <w:spacing w:before="480" w:after="0"/>
      <w:outlineLvl w:val="9"/>
    </w:pPr>
    <w:rPr>
      <w:color w:val="365F91"/>
      <w:kern w:val="0"/>
      <w:szCs w:val="28"/>
    </w:rPr>
  </w:style>
  <w:style w:type="character" w:customStyle="1" w:styleId="Heading2Char">
    <w:name w:val="Heading 2 Char"/>
    <w:link w:val="Heading2"/>
    <w:uiPriority w:val="9"/>
    <w:rsid w:val="00873403"/>
    <w:rPr>
      <w:rFonts w:ascii="Arial" w:hAnsi="Arial"/>
      <w:sz w:val="24"/>
      <w:lang w:eastAsia="en-US"/>
    </w:rPr>
  </w:style>
  <w:style w:type="character" w:customStyle="1" w:styleId="Heading3Char">
    <w:name w:val="Heading 3 Char"/>
    <w:link w:val="Heading3"/>
    <w:uiPriority w:val="9"/>
    <w:rsid w:val="00E95E37"/>
    <w:rPr>
      <w:rFonts w:ascii="Arial" w:eastAsia="Times New Roman" w:hAnsi="Arial"/>
      <w:b/>
      <w:bCs/>
      <w:sz w:val="24"/>
      <w:szCs w:val="24"/>
    </w:rPr>
  </w:style>
  <w:style w:type="paragraph" w:styleId="Header">
    <w:name w:val="header"/>
    <w:basedOn w:val="Normal"/>
    <w:link w:val="HeaderChar"/>
    <w:uiPriority w:val="99"/>
    <w:unhideWhenUsed/>
    <w:rsid w:val="000B36B1"/>
    <w:pPr>
      <w:tabs>
        <w:tab w:val="center" w:pos="4513"/>
        <w:tab w:val="right" w:pos="9026"/>
      </w:tabs>
      <w:spacing w:after="0" w:line="240" w:lineRule="auto"/>
    </w:pPr>
  </w:style>
  <w:style w:type="character" w:customStyle="1" w:styleId="HeaderChar">
    <w:name w:val="Header Char"/>
    <w:link w:val="Header"/>
    <w:uiPriority w:val="99"/>
    <w:rsid w:val="000B36B1"/>
    <w:rPr>
      <w:rFonts w:ascii="Arial" w:hAnsi="Arial"/>
      <w:sz w:val="22"/>
      <w:szCs w:val="22"/>
      <w:lang w:eastAsia="en-US"/>
    </w:rPr>
  </w:style>
  <w:style w:type="paragraph" w:styleId="Footer">
    <w:name w:val="footer"/>
    <w:basedOn w:val="Normal"/>
    <w:link w:val="FooterChar"/>
    <w:uiPriority w:val="99"/>
    <w:unhideWhenUsed/>
    <w:rsid w:val="000B36B1"/>
    <w:pPr>
      <w:tabs>
        <w:tab w:val="center" w:pos="4513"/>
        <w:tab w:val="right" w:pos="9026"/>
      </w:tabs>
      <w:spacing w:after="0" w:line="240" w:lineRule="auto"/>
    </w:pPr>
  </w:style>
  <w:style w:type="character" w:customStyle="1" w:styleId="FooterChar">
    <w:name w:val="Footer Char"/>
    <w:link w:val="Footer"/>
    <w:uiPriority w:val="99"/>
    <w:rsid w:val="000B36B1"/>
    <w:rPr>
      <w:rFonts w:ascii="Arial" w:hAnsi="Arial"/>
      <w:sz w:val="22"/>
      <w:szCs w:val="22"/>
      <w:lang w:eastAsia="en-US"/>
    </w:rPr>
  </w:style>
  <w:style w:type="table" w:styleId="TableGrid">
    <w:name w:val="Table Grid"/>
    <w:basedOn w:val="TableNormal"/>
    <w:uiPriority w:val="5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6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36B1"/>
    <w:rPr>
      <w:rFonts w:ascii="Tahoma" w:hAnsi="Tahoma" w:cs="Tahoma"/>
      <w:sz w:val="16"/>
      <w:szCs w:val="16"/>
      <w:lang w:eastAsia="en-US"/>
    </w:rPr>
  </w:style>
  <w:style w:type="paragraph" w:styleId="PlainText">
    <w:name w:val="Plain Text"/>
    <w:basedOn w:val="Normal"/>
    <w:link w:val="PlainTextChar"/>
    <w:uiPriority w:val="99"/>
    <w:semiHidden/>
    <w:unhideWhenUsed/>
    <w:rsid w:val="008A1DB3"/>
    <w:pPr>
      <w:spacing w:after="0" w:line="240" w:lineRule="auto"/>
    </w:pPr>
    <w:rPr>
      <w:rFonts w:ascii="Consolas" w:hAnsi="Consolas"/>
      <w:sz w:val="21"/>
      <w:szCs w:val="21"/>
    </w:rPr>
  </w:style>
  <w:style w:type="character" w:customStyle="1" w:styleId="PlainTextChar">
    <w:name w:val="Plain Text Char"/>
    <w:link w:val="PlainText"/>
    <w:uiPriority w:val="99"/>
    <w:semiHidden/>
    <w:rsid w:val="008A1DB3"/>
    <w:rPr>
      <w:rFonts w:ascii="Consolas" w:hAnsi="Consolas"/>
      <w:sz w:val="21"/>
      <w:szCs w:val="21"/>
      <w:lang w:eastAsia="en-US"/>
    </w:rPr>
  </w:style>
  <w:style w:type="paragraph" w:styleId="NormalWeb">
    <w:name w:val="Normal (Web)"/>
    <w:basedOn w:val="Normal"/>
    <w:uiPriority w:val="99"/>
    <w:semiHidden/>
    <w:unhideWhenUsed/>
    <w:rsid w:val="0046708A"/>
    <w:rPr>
      <w:rFonts w:ascii="Times New Roman" w:hAnsi="Times New Roman"/>
      <w:sz w:val="24"/>
      <w:szCs w:val="24"/>
    </w:rPr>
  </w:style>
  <w:style w:type="paragraph" w:styleId="FootnoteText">
    <w:name w:val="footnote text"/>
    <w:basedOn w:val="Normal"/>
    <w:link w:val="FootnoteTextChar"/>
    <w:uiPriority w:val="99"/>
    <w:unhideWhenUsed/>
    <w:rsid w:val="00023AD3"/>
    <w:pPr>
      <w:spacing w:after="0" w:line="240" w:lineRule="auto"/>
    </w:pPr>
    <w:rPr>
      <w:sz w:val="20"/>
      <w:szCs w:val="20"/>
    </w:rPr>
  </w:style>
  <w:style w:type="character" w:customStyle="1" w:styleId="FootnoteTextChar">
    <w:name w:val="Footnote Text Char"/>
    <w:link w:val="FootnoteText"/>
    <w:uiPriority w:val="99"/>
    <w:rsid w:val="00023AD3"/>
    <w:rPr>
      <w:rFonts w:ascii="Arial" w:hAnsi="Arial"/>
      <w:lang w:eastAsia="en-US"/>
    </w:rPr>
  </w:style>
  <w:style w:type="character" w:styleId="FootnoteReference">
    <w:name w:val="footnote reference"/>
    <w:uiPriority w:val="99"/>
    <w:unhideWhenUsed/>
    <w:rsid w:val="00023AD3"/>
    <w:rPr>
      <w:vertAlign w:val="superscript"/>
    </w:rPr>
  </w:style>
  <w:style w:type="character" w:styleId="Hyperlink">
    <w:name w:val="Hyperlink"/>
    <w:uiPriority w:val="99"/>
    <w:unhideWhenUsed/>
    <w:rsid w:val="008C1231"/>
    <w:rPr>
      <w:color w:val="0000FF"/>
      <w:u w:val="single"/>
    </w:rPr>
  </w:style>
  <w:style w:type="character" w:styleId="CommentReference">
    <w:name w:val="annotation reference"/>
    <w:uiPriority w:val="99"/>
    <w:semiHidden/>
    <w:unhideWhenUsed/>
    <w:rsid w:val="0007086D"/>
    <w:rPr>
      <w:sz w:val="16"/>
      <w:szCs w:val="16"/>
    </w:rPr>
  </w:style>
  <w:style w:type="paragraph" w:styleId="CommentText">
    <w:name w:val="annotation text"/>
    <w:basedOn w:val="Normal"/>
    <w:link w:val="CommentTextChar"/>
    <w:uiPriority w:val="99"/>
    <w:semiHidden/>
    <w:unhideWhenUsed/>
    <w:rsid w:val="0007086D"/>
    <w:rPr>
      <w:sz w:val="20"/>
      <w:szCs w:val="20"/>
    </w:rPr>
  </w:style>
  <w:style w:type="character" w:customStyle="1" w:styleId="CommentTextChar">
    <w:name w:val="Comment Text Char"/>
    <w:link w:val="CommentText"/>
    <w:uiPriority w:val="99"/>
    <w:semiHidden/>
    <w:rsid w:val="000708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086D"/>
    <w:rPr>
      <w:b/>
      <w:bCs/>
    </w:rPr>
  </w:style>
  <w:style w:type="character" w:customStyle="1" w:styleId="CommentSubjectChar">
    <w:name w:val="Comment Subject Char"/>
    <w:link w:val="CommentSubject"/>
    <w:uiPriority w:val="99"/>
    <w:semiHidden/>
    <w:rsid w:val="0007086D"/>
    <w:rPr>
      <w:rFonts w:ascii="Arial" w:hAnsi="Arial"/>
      <w:b/>
      <w:bCs/>
      <w:lang w:eastAsia="en-US"/>
    </w:rPr>
  </w:style>
  <w:style w:type="paragraph" w:customStyle="1" w:styleId="ColorfulShading-Accent11">
    <w:name w:val="Colorful Shading - Accent 11"/>
    <w:hidden/>
    <w:uiPriority w:val="99"/>
    <w:semiHidden/>
    <w:rsid w:val="0007086D"/>
    <w:rPr>
      <w:rFonts w:ascii="Arial" w:hAnsi="Arial"/>
      <w:sz w:val="22"/>
      <w:szCs w:val="22"/>
      <w:lang w:val="en-GB"/>
    </w:rPr>
  </w:style>
  <w:style w:type="character" w:styleId="FollowedHyperlink">
    <w:name w:val="FollowedHyperlink"/>
    <w:uiPriority w:val="99"/>
    <w:semiHidden/>
    <w:unhideWhenUsed/>
    <w:rsid w:val="00D42D1D"/>
    <w:rPr>
      <w:color w:val="800080"/>
      <w:u w:val="single"/>
    </w:rPr>
  </w:style>
  <w:style w:type="paragraph" w:customStyle="1" w:styleId="ColorfulList-Accent11">
    <w:name w:val="Colorful List - Accent 11"/>
    <w:basedOn w:val="Normal"/>
    <w:uiPriority w:val="34"/>
    <w:qFormat/>
    <w:rsid w:val="008064A9"/>
    <w:pPr>
      <w:ind w:left="720"/>
      <w:contextualSpacing/>
    </w:pPr>
  </w:style>
  <w:style w:type="paragraph" w:customStyle="1" w:styleId="Default">
    <w:name w:val="Default"/>
    <w:rsid w:val="00EB773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1425"/>
    <w:pPr>
      <w:ind w:left="720"/>
      <w:contextualSpacing/>
    </w:pPr>
  </w:style>
  <w:style w:type="paragraph" w:customStyle="1" w:styleId="TableParagraph">
    <w:name w:val="Table Paragraph"/>
    <w:basedOn w:val="Normal"/>
    <w:uiPriority w:val="99"/>
    <w:rsid w:val="00F1478F"/>
    <w:pPr>
      <w:widowControl w:val="0"/>
      <w:spacing w:after="0" w:line="240" w:lineRule="auto"/>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474">
      <w:bodyDiv w:val="1"/>
      <w:marLeft w:val="0"/>
      <w:marRight w:val="0"/>
      <w:marTop w:val="0"/>
      <w:marBottom w:val="0"/>
      <w:divBdr>
        <w:top w:val="none" w:sz="0" w:space="0" w:color="auto"/>
        <w:left w:val="none" w:sz="0" w:space="0" w:color="auto"/>
        <w:bottom w:val="none" w:sz="0" w:space="0" w:color="auto"/>
        <w:right w:val="none" w:sz="0" w:space="0" w:color="auto"/>
      </w:divBdr>
    </w:div>
    <w:div w:id="38215319">
      <w:bodyDiv w:val="1"/>
      <w:marLeft w:val="0"/>
      <w:marRight w:val="0"/>
      <w:marTop w:val="0"/>
      <w:marBottom w:val="0"/>
      <w:divBdr>
        <w:top w:val="none" w:sz="0" w:space="0" w:color="auto"/>
        <w:left w:val="none" w:sz="0" w:space="0" w:color="auto"/>
        <w:bottom w:val="none" w:sz="0" w:space="0" w:color="auto"/>
        <w:right w:val="none" w:sz="0" w:space="0" w:color="auto"/>
      </w:divBdr>
      <w:divsChild>
        <w:div w:id="657225776">
          <w:marLeft w:val="0"/>
          <w:marRight w:val="0"/>
          <w:marTop w:val="0"/>
          <w:marBottom w:val="0"/>
          <w:divBdr>
            <w:top w:val="none" w:sz="0" w:space="0" w:color="auto"/>
            <w:left w:val="none" w:sz="0" w:space="0" w:color="auto"/>
            <w:bottom w:val="none" w:sz="0" w:space="0" w:color="auto"/>
            <w:right w:val="none" w:sz="0" w:space="0" w:color="auto"/>
          </w:divBdr>
          <w:divsChild>
            <w:div w:id="1159544217">
              <w:marLeft w:val="0"/>
              <w:marRight w:val="0"/>
              <w:marTop w:val="0"/>
              <w:marBottom w:val="0"/>
              <w:divBdr>
                <w:top w:val="none" w:sz="0" w:space="0" w:color="auto"/>
                <w:left w:val="none" w:sz="0" w:space="0" w:color="auto"/>
                <w:bottom w:val="none" w:sz="0" w:space="0" w:color="auto"/>
                <w:right w:val="none" w:sz="0" w:space="0" w:color="auto"/>
              </w:divBdr>
              <w:divsChild>
                <w:div w:id="677078562">
                  <w:marLeft w:val="0"/>
                  <w:marRight w:val="0"/>
                  <w:marTop w:val="0"/>
                  <w:marBottom w:val="0"/>
                  <w:divBdr>
                    <w:top w:val="none" w:sz="0" w:space="0" w:color="auto"/>
                    <w:left w:val="none" w:sz="0" w:space="0" w:color="auto"/>
                    <w:bottom w:val="none" w:sz="0" w:space="0" w:color="auto"/>
                    <w:right w:val="none" w:sz="0" w:space="0" w:color="auto"/>
                  </w:divBdr>
                  <w:divsChild>
                    <w:div w:id="13514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3625">
      <w:bodyDiv w:val="1"/>
      <w:marLeft w:val="0"/>
      <w:marRight w:val="0"/>
      <w:marTop w:val="0"/>
      <w:marBottom w:val="0"/>
      <w:divBdr>
        <w:top w:val="none" w:sz="0" w:space="0" w:color="auto"/>
        <w:left w:val="none" w:sz="0" w:space="0" w:color="auto"/>
        <w:bottom w:val="none" w:sz="0" w:space="0" w:color="auto"/>
        <w:right w:val="none" w:sz="0" w:space="0" w:color="auto"/>
      </w:divBdr>
      <w:divsChild>
        <w:div w:id="72518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05650">
      <w:bodyDiv w:val="1"/>
      <w:marLeft w:val="0"/>
      <w:marRight w:val="0"/>
      <w:marTop w:val="0"/>
      <w:marBottom w:val="0"/>
      <w:divBdr>
        <w:top w:val="none" w:sz="0" w:space="0" w:color="auto"/>
        <w:left w:val="none" w:sz="0" w:space="0" w:color="auto"/>
        <w:bottom w:val="none" w:sz="0" w:space="0" w:color="auto"/>
        <w:right w:val="none" w:sz="0" w:space="0" w:color="auto"/>
      </w:divBdr>
    </w:div>
    <w:div w:id="213855841">
      <w:bodyDiv w:val="1"/>
      <w:marLeft w:val="0"/>
      <w:marRight w:val="0"/>
      <w:marTop w:val="0"/>
      <w:marBottom w:val="0"/>
      <w:divBdr>
        <w:top w:val="none" w:sz="0" w:space="0" w:color="auto"/>
        <w:left w:val="none" w:sz="0" w:space="0" w:color="auto"/>
        <w:bottom w:val="none" w:sz="0" w:space="0" w:color="auto"/>
        <w:right w:val="none" w:sz="0" w:space="0" w:color="auto"/>
      </w:divBdr>
    </w:div>
    <w:div w:id="312682885">
      <w:bodyDiv w:val="1"/>
      <w:marLeft w:val="0"/>
      <w:marRight w:val="0"/>
      <w:marTop w:val="0"/>
      <w:marBottom w:val="0"/>
      <w:divBdr>
        <w:top w:val="none" w:sz="0" w:space="0" w:color="auto"/>
        <w:left w:val="none" w:sz="0" w:space="0" w:color="auto"/>
        <w:bottom w:val="none" w:sz="0" w:space="0" w:color="auto"/>
        <w:right w:val="none" w:sz="0" w:space="0" w:color="auto"/>
      </w:divBdr>
    </w:div>
    <w:div w:id="348530625">
      <w:bodyDiv w:val="1"/>
      <w:marLeft w:val="0"/>
      <w:marRight w:val="0"/>
      <w:marTop w:val="0"/>
      <w:marBottom w:val="0"/>
      <w:divBdr>
        <w:top w:val="none" w:sz="0" w:space="0" w:color="auto"/>
        <w:left w:val="none" w:sz="0" w:space="0" w:color="auto"/>
        <w:bottom w:val="none" w:sz="0" w:space="0" w:color="auto"/>
        <w:right w:val="none" w:sz="0" w:space="0" w:color="auto"/>
      </w:divBdr>
      <w:divsChild>
        <w:div w:id="149176085">
          <w:marLeft w:val="547"/>
          <w:marRight w:val="0"/>
          <w:marTop w:val="96"/>
          <w:marBottom w:val="0"/>
          <w:divBdr>
            <w:top w:val="none" w:sz="0" w:space="0" w:color="auto"/>
            <w:left w:val="none" w:sz="0" w:space="0" w:color="auto"/>
            <w:bottom w:val="none" w:sz="0" w:space="0" w:color="auto"/>
            <w:right w:val="none" w:sz="0" w:space="0" w:color="auto"/>
          </w:divBdr>
        </w:div>
        <w:div w:id="778379609">
          <w:marLeft w:val="547"/>
          <w:marRight w:val="0"/>
          <w:marTop w:val="96"/>
          <w:marBottom w:val="0"/>
          <w:divBdr>
            <w:top w:val="none" w:sz="0" w:space="0" w:color="auto"/>
            <w:left w:val="none" w:sz="0" w:space="0" w:color="auto"/>
            <w:bottom w:val="none" w:sz="0" w:space="0" w:color="auto"/>
            <w:right w:val="none" w:sz="0" w:space="0" w:color="auto"/>
          </w:divBdr>
        </w:div>
        <w:div w:id="1658150418">
          <w:marLeft w:val="547"/>
          <w:marRight w:val="0"/>
          <w:marTop w:val="96"/>
          <w:marBottom w:val="0"/>
          <w:divBdr>
            <w:top w:val="none" w:sz="0" w:space="0" w:color="auto"/>
            <w:left w:val="none" w:sz="0" w:space="0" w:color="auto"/>
            <w:bottom w:val="none" w:sz="0" w:space="0" w:color="auto"/>
            <w:right w:val="none" w:sz="0" w:space="0" w:color="auto"/>
          </w:divBdr>
        </w:div>
        <w:div w:id="1688603398">
          <w:marLeft w:val="547"/>
          <w:marRight w:val="0"/>
          <w:marTop w:val="96"/>
          <w:marBottom w:val="0"/>
          <w:divBdr>
            <w:top w:val="none" w:sz="0" w:space="0" w:color="auto"/>
            <w:left w:val="none" w:sz="0" w:space="0" w:color="auto"/>
            <w:bottom w:val="none" w:sz="0" w:space="0" w:color="auto"/>
            <w:right w:val="none" w:sz="0" w:space="0" w:color="auto"/>
          </w:divBdr>
        </w:div>
      </w:divsChild>
    </w:div>
    <w:div w:id="367530828">
      <w:bodyDiv w:val="1"/>
      <w:marLeft w:val="0"/>
      <w:marRight w:val="0"/>
      <w:marTop w:val="0"/>
      <w:marBottom w:val="0"/>
      <w:divBdr>
        <w:top w:val="none" w:sz="0" w:space="0" w:color="auto"/>
        <w:left w:val="none" w:sz="0" w:space="0" w:color="auto"/>
        <w:bottom w:val="none" w:sz="0" w:space="0" w:color="auto"/>
        <w:right w:val="none" w:sz="0" w:space="0" w:color="auto"/>
      </w:divBdr>
    </w:div>
    <w:div w:id="447890942">
      <w:bodyDiv w:val="1"/>
      <w:marLeft w:val="0"/>
      <w:marRight w:val="0"/>
      <w:marTop w:val="0"/>
      <w:marBottom w:val="0"/>
      <w:divBdr>
        <w:top w:val="none" w:sz="0" w:space="0" w:color="auto"/>
        <w:left w:val="none" w:sz="0" w:space="0" w:color="auto"/>
        <w:bottom w:val="none" w:sz="0" w:space="0" w:color="auto"/>
        <w:right w:val="none" w:sz="0" w:space="0" w:color="auto"/>
      </w:divBdr>
      <w:divsChild>
        <w:div w:id="925071447">
          <w:marLeft w:val="547"/>
          <w:marRight w:val="0"/>
          <w:marTop w:val="115"/>
          <w:marBottom w:val="0"/>
          <w:divBdr>
            <w:top w:val="none" w:sz="0" w:space="0" w:color="auto"/>
            <w:left w:val="none" w:sz="0" w:space="0" w:color="auto"/>
            <w:bottom w:val="none" w:sz="0" w:space="0" w:color="auto"/>
            <w:right w:val="none" w:sz="0" w:space="0" w:color="auto"/>
          </w:divBdr>
        </w:div>
        <w:div w:id="1124496021">
          <w:marLeft w:val="547"/>
          <w:marRight w:val="0"/>
          <w:marTop w:val="115"/>
          <w:marBottom w:val="0"/>
          <w:divBdr>
            <w:top w:val="none" w:sz="0" w:space="0" w:color="auto"/>
            <w:left w:val="none" w:sz="0" w:space="0" w:color="auto"/>
            <w:bottom w:val="none" w:sz="0" w:space="0" w:color="auto"/>
            <w:right w:val="none" w:sz="0" w:space="0" w:color="auto"/>
          </w:divBdr>
        </w:div>
        <w:div w:id="1934047887">
          <w:marLeft w:val="547"/>
          <w:marRight w:val="0"/>
          <w:marTop w:val="115"/>
          <w:marBottom w:val="0"/>
          <w:divBdr>
            <w:top w:val="none" w:sz="0" w:space="0" w:color="auto"/>
            <w:left w:val="none" w:sz="0" w:space="0" w:color="auto"/>
            <w:bottom w:val="none" w:sz="0" w:space="0" w:color="auto"/>
            <w:right w:val="none" w:sz="0" w:space="0" w:color="auto"/>
          </w:divBdr>
        </w:div>
      </w:divsChild>
    </w:div>
    <w:div w:id="471483902">
      <w:bodyDiv w:val="1"/>
      <w:marLeft w:val="0"/>
      <w:marRight w:val="0"/>
      <w:marTop w:val="0"/>
      <w:marBottom w:val="0"/>
      <w:divBdr>
        <w:top w:val="none" w:sz="0" w:space="0" w:color="auto"/>
        <w:left w:val="none" w:sz="0" w:space="0" w:color="auto"/>
        <w:bottom w:val="none" w:sz="0" w:space="0" w:color="auto"/>
        <w:right w:val="none" w:sz="0" w:space="0" w:color="auto"/>
      </w:divBdr>
      <w:divsChild>
        <w:div w:id="1611741969">
          <w:marLeft w:val="0"/>
          <w:marRight w:val="0"/>
          <w:marTop w:val="0"/>
          <w:marBottom w:val="0"/>
          <w:divBdr>
            <w:top w:val="none" w:sz="0" w:space="0" w:color="auto"/>
            <w:left w:val="none" w:sz="0" w:space="0" w:color="auto"/>
            <w:bottom w:val="none" w:sz="0" w:space="0" w:color="auto"/>
            <w:right w:val="none" w:sz="0" w:space="0" w:color="auto"/>
          </w:divBdr>
          <w:divsChild>
            <w:div w:id="1583295053">
              <w:marLeft w:val="0"/>
              <w:marRight w:val="0"/>
              <w:marTop w:val="0"/>
              <w:marBottom w:val="0"/>
              <w:divBdr>
                <w:top w:val="none" w:sz="0" w:space="0" w:color="auto"/>
                <w:left w:val="none" w:sz="0" w:space="0" w:color="auto"/>
                <w:bottom w:val="none" w:sz="0" w:space="0" w:color="auto"/>
                <w:right w:val="none" w:sz="0" w:space="0" w:color="auto"/>
              </w:divBdr>
              <w:divsChild>
                <w:div w:id="1686785355">
                  <w:marLeft w:val="0"/>
                  <w:marRight w:val="0"/>
                  <w:marTop w:val="0"/>
                  <w:marBottom w:val="0"/>
                  <w:divBdr>
                    <w:top w:val="none" w:sz="0" w:space="0" w:color="auto"/>
                    <w:left w:val="none" w:sz="0" w:space="0" w:color="auto"/>
                    <w:bottom w:val="none" w:sz="0" w:space="0" w:color="auto"/>
                    <w:right w:val="none" w:sz="0" w:space="0" w:color="auto"/>
                  </w:divBdr>
                  <w:divsChild>
                    <w:div w:id="7954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976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255">
          <w:marLeft w:val="547"/>
          <w:marRight w:val="0"/>
          <w:marTop w:val="134"/>
          <w:marBottom w:val="0"/>
          <w:divBdr>
            <w:top w:val="none" w:sz="0" w:space="0" w:color="auto"/>
            <w:left w:val="none" w:sz="0" w:space="0" w:color="auto"/>
            <w:bottom w:val="none" w:sz="0" w:space="0" w:color="auto"/>
            <w:right w:val="none" w:sz="0" w:space="0" w:color="auto"/>
          </w:divBdr>
        </w:div>
        <w:div w:id="1694071272">
          <w:marLeft w:val="547"/>
          <w:marRight w:val="0"/>
          <w:marTop w:val="134"/>
          <w:marBottom w:val="0"/>
          <w:divBdr>
            <w:top w:val="none" w:sz="0" w:space="0" w:color="auto"/>
            <w:left w:val="none" w:sz="0" w:space="0" w:color="auto"/>
            <w:bottom w:val="none" w:sz="0" w:space="0" w:color="auto"/>
            <w:right w:val="none" w:sz="0" w:space="0" w:color="auto"/>
          </w:divBdr>
        </w:div>
        <w:div w:id="1952854377">
          <w:marLeft w:val="547"/>
          <w:marRight w:val="0"/>
          <w:marTop w:val="134"/>
          <w:marBottom w:val="0"/>
          <w:divBdr>
            <w:top w:val="none" w:sz="0" w:space="0" w:color="auto"/>
            <w:left w:val="none" w:sz="0" w:space="0" w:color="auto"/>
            <w:bottom w:val="none" w:sz="0" w:space="0" w:color="auto"/>
            <w:right w:val="none" w:sz="0" w:space="0" w:color="auto"/>
          </w:divBdr>
        </w:div>
      </w:divsChild>
    </w:div>
    <w:div w:id="518853708">
      <w:bodyDiv w:val="1"/>
      <w:marLeft w:val="0"/>
      <w:marRight w:val="0"/>
      <w:marTop w:val="0"/>
      <w:marBottom w:val="0"/>
      <w:divBdr>
        <w:top w:val="none" w:sz="0" w:space="0" w:color="auto"/>
        <w:left w:val="none" w:sz="0" w:space="0" w:color="auto"/>
        <w:bottom w:val="none" w:sz="0" w:space="0" w:color="auto"/>
        <w:right w:val="none" w:sz="0" w:space="0" w:color="auto"/>
      </w:divBdr>
    </w:div>
    <w:div w:id="709838756">
      <w:bodyDiv w:val="1"/>
      <w:marLeft w:val="0"/>
      <w:marRight w:val="0"/>
      <w:marTop w:val="0"/>
      <w:marBottom w:val="0"/>
      <w:divBdr>
        <w:top w:val="none" w:sz="0" w:space="0" w:color="auto"/>
        <w:left w:val="none" w:sz="0" w:space="0" w:color="auto"/>
        <w:bottom w:val="none" w:sz="0" w:space="0" w:color="auto"/>
        <w:right w:val="none" w:sz="0" w:space="0" w:color="auto"/>
      </w:divBdr>
      <w:divsChild>
        <w:div w:id="59862902">
          <w:marLeft w:val="547"/>
          <w:marRight w:val="0"/>
          <w:marTop w:val="77"/>
          <w:marBottom w:val="0"/>
          <w:divBdr>
            <w:top w:val="none" w:sz="0" w:space="0" w:color="auto"/>
            <w:left w:val="none" w:sz="0" w:space="0" w:color="auto"/>
            <w:bottom w:val="none" w:sz="0" w:space="0" w:color="auto"/>
            <w:right w:val="none" w:sz="0" w:space="0" w:color="auto"/>
          </w:divBdr>
        </w:div>
        <w:div w:id="779102268">
          <w:marLeft w:val="547"/>
          <w:marRight w:val="0"/>
          <w:marTop w:val="77"/>
          <w:marBottom w:val="0"/>
          <w:divBdr>
            <w:top w:val="none" w:sz="0" w:space="0" w:color="auto"/>
            <w:left w:val="none" w:sz="0" w:space="0" w:color="auto"/>
            <w:bottom w:val="none" w:sz="0" w:space="0" w:color="auto"/>
            <w:right w:val="none" w:sz="0" w:space="0" w:color="auto"/>
          </w:divBdr>
        </w:div>
      </w:divsChild>
    </w:div>
    <w:div w:id="719288895">
      <w:bodyDiv w:val="1"/>
      <w:marLeft w:val="0"/>
      <w:marRight w:val="0"/>
      <w:marTop w:val="0"/>
      <w:marBottom w:val="0"/>
      <w:divBdr>
        <w:top w:val="none" w:sz="0" w:space="0" w:color="auto"/>
        <w:left w:val="none" w:sz="0" w:space="0" w:color="auto"/>
        <w:bottom w:val="none" w:sz="0" w:space="0" w:color="auto"/>
        <w:right w:val="none" w:sz="0" w:space="0" w:color="auto"/>
      </w:divBdr>
      <w:divsChild>
        <w:div w:id="1151867607">
          <w:marLeft w:val="547"/>
          <w:marRight w:val="0"/>
          <w:marTop w:val="96"/>
          <w:marBottom w:val="0"/>
          <w:divBdr>
            <w:top w:val="none" w:sz="0" w:space="0" w:color="auto"/>
            <w:left w:val="none" w:sz="0" w:space="0" w:color="auto"/>
            <w:bottom w:val="none" w:sz="0" w:space="0" w:color="auto"/>
            <w:right w:val="none" w:sz="0" w:space="0" w:color="auto"/>
          </w:divBdr>
        </w:div>
      </w:divsChild>
    </w:div>
    <w:div w:id="879705892">
      <w:bodyDiv w:val="1"/>
      <w:marLeft w:val="0"/>
      <w:marRight w:val="0"/>
      <w:marTop w:val="0"/>
      <w:marBottom w:val="0"/>
      <w:divBdr>
        <w:top w:val="none" w:sz="0" w:space="0" w:color="auto"/>
        <w:left w:val="none" w:sz="0" w:space="0" w:color="auto"/>
        <w:bottom w:val="none" w:sz="0" w:space="0" w:color="auto"/>
        <w:right w:val="none" w:sz="0" w:space="0" w:color="auto"/>
      </w:divBdr>
    </w:div>
    <w:div w:id="941257218">
      <w:bodyDiv w:val="1"/>
      <w:marLeft w:val="0"/>
      <w:marRight w:val="0"/>
      <w:marTop w:val="0"/>
      <w:marBottom w:val="0"/>
      <w:divBdr>
        <w:top w:val="none" w:sz="0" w:space="0" w:color="auto"/>
        <w:left w:val="none" w:sz="0" w:space="0" w:color="auto"/>
        <w:bottom w:val="none" w:sz="0" w:space="0" w:color="auto"/>
        <w:right w:val="none" w:sz="0" w:space="0" w:color="auto"/>
      </w:divBdr>
    </w:div>
    <w:div w:id="1138229674">
      <w:bodyDiv w:val="1"/>
      <w:marLeft w:val="0"/>
      <w:marRight w:val="0"/>
      <w:marTop w:val="0"/>
      <w:marBottom w:val="0"/>
      <w:divBdr>
        <w:top w:val="none" w:sz="0" w:space="0" w:color="auto"/>
        <w:left w:val="none" w:sz="0" w:space="0" w:color="auto"/>
        <w:bottom w:val="none" w:sz="0" w:space="0" w:color="auto"/>
        <w:right w:val="none" w:sz="0" w:space="0" w:color="auto"/>
      </w:divBdr>
      <w:divsChild>
        <w:div w:id="17046708">
          <w:marLeft w:val="0"/>
          <w:marRight w:val="0"/>
          <w:marTop w:val="0"/>
          <w:marBottom w:val="0"/>
          <w:divBdr>
            <w:top w:val="none" w:sz="0" w:space="0" w:color="auto"/>
            <w:left w:val="none" w:sz="0" w:space="0" w:color="auto"/>
            <w:bottom w:val="none" w:sz="0" w:space="0" w:color="auto"/>
            <w:right w:val="none" w:sz="0" w:space="0" w:color="auto"/>
          </w:divBdr>
          <w:divsChild>
            <w:div w:id="1058476877">
              <w:marLeft w:val="0"/>
              <w:marRight w:val="0"/>
              <w:marTop w:val="0"/>
              <w:marBottom w:val="0"/>
              <w:divBdr>
                <w:top w:val="none" w:sz="0" w:space="0" w:color="auto"/>
                <w:left w:val="none" w:sz="0" w:space="0" w:color="auto"/>
                <w:bottom w:val="none" w:sz="0" w:space="0" w:color="auto"/>
                <w:right w:val="none" w:sz="0" w:space="0" w:color="auto"/>
              </w:divBdr>
              <w:divsChild>
                <w:div w:id="916551907">
                  <w:marLeft w:val="0"/>
                  <w:marRight w:val="0"/>
                  <w:marTop w:val="0"/>
                  <w:marBottom w:val="0"/>
                  <w:divBdr>
                    <w:top w:val="none" w:sz="0" w:space="0" w:color="auto"/>
                    <w:left w:val="none" w:sz="0" w:space="0" w:color="auto"/>
                    <w:bottom w:val="none" w:sz="0" w:space="0" w:color="auto"/>
                    <w:right w:val="none" w:sz="0" w:space="0" w:color="auto"/>
                  </w:divBdr>
                  <w:divsChild>
                    <w:div w:id="1720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8219">
      <w:bodyDiv w:val="1"/>
      <w:marLeft w:val="0"/>
      <w:marRight w:val="0"/>
      <w:marTop w:val="0"/>
      <w:marBottom w:val="0"/>
      <w:divBdr>
        <w:top w:val="none" w:sz="0" w:space="0" w:color="auto"/>
        <w:left w:val="none" w:sz="0" w:space="0" w:color="auto"/>
        <w:bottom w:val="none" w:sz="0" w:space="0" w:color="auto"/>
        <w:right w:val="none" w:sz="0" w:space="0" w:color="auto"/>
      </w:divBdr>
      <w:divsChild>
        <w:div w:id="157099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8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1895890">
      <w:bodyDiv w:val="1"/>
      <w:marLeft w:val="0"/>
      <w:marRight w:val="0"/>
      <w:marTop w:val="0"/>
      <w:marBottom w:val="0"/>
      <w:divBdr>
        <w:top w:val="none" w:sz="0" w:space="0" w:color="auto"/>
        <w:left w:val="none" w:sz="0" w:space="0" w:color="auto"/>
        <w:bottom w:val="none" w:sz="0" w:space="0" w:color="auto"/>
        <w:right w:val="none" w:sz="0" w:space="0" w:color="auto"/>
      </w:divBdr>
    </w:div>
    <w:div w:id="1481271761">
      <w:bodyDiv w:val="1"/>
      <w:marLeft w:val="0"/>
      <w:marRight w:val="0"/>
      <w:marTop w:val="0"/>
      <w:marBottom w:val="0"/>
      <w:divBdr>
        <w:top w:val="none" w:sz="0" w:space="0" w:color="auto"/>
        <w:left w:val="none" w:sz="0" w:space="0" w:color="auto"/>
        <w:bottom w:val="none" w:sz="0" w:space="0" w:color="auto"/>
        <w:right w:val="none" w:sz="0" w:space="0" w:color="auto"/>
      </w:divBdr>
    </w:div>
    <w:div w:id="1496608211">
      <w:bodyDiv w:val="1"/>
      <w:marLeft w:val="0"/>
      <w:marRight w:val="0"/>
      <w:marTop w:val="0"/>
      <w:marBottom w:val="0"/>
      <w:divBdr>
        <w:top w:val="none" w:sz="0" w:space="0" w:color="auto"/>
        <w:left w:val="none" w:sz="0" w:space="0" w:color="auto"/>
        <w:bottom w:val="none" w:sz="0" w:space="0" w:color="auto"/>
        <w:right w:val="none" w:sz="0" w:space="0" w:color="auto"/>
      </w:divBdr>
      <w:divsChild>
        <w:div w:id="248194250">
          <w:marLeft w:val="0"/>
          <w:marRight w:val="0"/>
          <w:marTop w:val="115"/>
          <w:marBottom w:val="0"/>
          <w:divBdr>
            <w:top w:val="none" w:sz="0" w:space="0" w:color="auto"/>
            <w:left w:val="none" w:sz="0" w:space="0" w:color="auto"/>
            <w:bottom w:val="none" w:sz="0" w:space="0" w:color="auto"/>
            <w:right w:val="none" w:sz="0" w:space="0" w:color="auto"/>
          </w:divBdr>
        </w:div>
      </w:divsChild>
    </w:div>
    <w:div w:id="1526751438">
      <w:bodyDiv w:val="1"/>
      <w:marLeft w:val="0"/>
      <w:marRight w:val="0"/>
      <w:marTop w:val="0"/>
      <w:marBottom w:val="0"/>
      <w:divBdr>
        <w:top w:val="none" w:sz="0" w:space="0" w:color="auto"/>
        <w:left w:val="none" w:sz="0" w:space="0" w:color="auto"/>
        <w:bottom w:val="none" w:sz="0" w:space="0" w:color="auto"/>
        <w:right w:val="none" w:sz="0" w:space="0" w:color="auto"/>
      </w:divBdr>
      <w:divsChild>
        <w:div w:id="418067148">
          <w:marLeft w:val="547"/>
          <w:marRight w:val="0"/>
          <w:marTop w:val="96"/>
          <w:marBottom w:val="0"/>
          <w:divBdr>
            <w:top w:val="none" w:sz="0" w:space="0" w:color="auto"/>
            <w:left w:val="none" w:sz="0" w:space="0" w:color="auto"/>
            <w:bottom w:val="none" w:sz="0" w:space="0" w:color="auto"/>
            <w:right w:val="none" w:sz="0" w:space="0" w:color="auto"/>
          </w:divBdr>
        </w:div>
      </w:divsChild>
    </w:div>
    <w:div w:id="1537621082">
      <w:bodyDiv w:val="1"/>
      <w:marLeft w:val="0"/>
      <w:marRight w:val="0"/>
      <w:marTop w:val="0"/>
      <w:marBottom w:val="0"/>
      <w:divBdr>
        <w:top w:val="none" w:sz="0" w:space="0" w:color="auto"/>
        <w:left w:val="none" w:sz="0" w:space="0" w:color="auto"/>
        <w:bottom w:val="none" w:sz="0" w:space="0" w:color="auto"/>
        <w:right w:val="none" w:sz="0" w:space="0" w:color="auto"/>
      </w:divBdr>
      <w:divsChild>
        <w:div w:id="1311253132">
          <w:marLeft w:val="0"/>
          <w:marRight w:val="0"/>
          <w:marTop w:val="0"/>
          <w:marBottom w:val="0"/>
          <w:divBdr>
            <w:top w:val="none" w:sz="0" w:space="0" w:color="auto"/>
            <w:left w:val="none" w:sz="0" w:space="0" w:color="auto"/>
            <w:bottom w:val="none" w:sz="0" w:space="0" w:color="auto"/>
            <w:right w:val="none" w:sz="0" w:space="0" w:color="auto"/>
          </w:divBdr>
          <w:divsChild>
            <w:div w:id="858128863">
              <w:marLeft w:val="0"/>
              <w:marRight w:val="0"/>
              <w:marTop w:val="0"/>
              <w:marBottom w:val="0"/>
              <w:divBdr>
                <w:top w:val="none" w:sz="0" w:space="0" w:color="auto"/>
                <w:left w:val="none" w:sz="0" w:space="0" w:color="auto"/>
                <w:bottom w:val="none" w:sz="0" w:space="0" w:color="auto"/>
                <w:right w:val="none" w:sz="0" w:space="0" w:color="auto"/>
              </w:divBdr>
              <w:divsChild>
                <w:div w:id="1479877539">
                  <w:marLeft w:val="0"/>
                  <w:marRight w:val="0"/>
                  <w:marTop w:val="0"/>
                  <w:marBottom w:val="0"/>
                  <w:divBdr>
                    <w:top w:val="none" w:sz="0" w:space="0" w:color="auto"/>
                    <w:left w:val="none" w:sz="0" w:space="0" w:color="auto"/>
                    <w:bottom w:val="none" w:sz="0" w:space="0" w:color="auto"/>
                    <w:right w:val="none" w:sz="0" w:space="0" w:color="auto"/>
                  </w:divBdr>
                  <w:divsChild>
                    <w:div w:id="1097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0864">
      <w:bodyDiv w:val="1"/>
      <w:marLeft w:val="0"/>
      <w:marRight w:val="0"/>
      <w:marTop w:val="0"/>
      <w:marBottom w:val="0"/>
      <w:divBdr>
        <w:top w:val="none" w:sz="0" w:space="0" w:color="auto"/>
        <w:left w:val="none" w:sz="0" w:space="0" w:color="auto"/>
        <w:bottom w:val="none" w:sz="0" w:space="0" w:color="auto"/>
        <w:right w:val="none" w:sz="0" w:space="0" w:color="auto"/>
      </w:divBdr>
      <w:divsChild>
        <w:div w:id="269633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204766">
      <w:bodyDiv w:val="1"/>
      <w:marLeft w:val="0"/>
      <w:marRight w:val="0"/>
      <w:marTop w:val="0"/>
      <w:marBottom w:val="0"/>
      <w:divBdr>
        <w:top w:val="none" w:sz="0" w:space="0" w:color="auto"/>
        <w:left w:val="none" w:sz="0" w:space="0" w:color="auto"/>
        <w:bottom w:val="none" w:sz="0" w:space="0" w:color="auto"/>
        <w:right w:val="none" w:sz="0" w:space="0" w:color="auto"/>
      </w:divBdr>
    </w:div>
    <w:div w:id="1700886516">
      <w:bodyDiv w:val="1"/>
      <w:marLeft w:val="0"/>
      <w:marRight w:val="0"/>
      <w:marTop w:val="0"/>
      <w:marBottom w:val="0"/>
      <w:divBdr>
        <w:top w:val="none" w:sz="0" w:space="0" w:color="auto"/>
        <w:left w:val="none" w:sz="0" w:space="0" w:color="auto"/>
        <w:bottom w:val="none" w:sz="0" w:space="0" w:color="auto"/>
        <w:right w:val="none" w:sz="0" w:space="0" w:color="auto"/>
      </w:divBdr>
    </w:div>
    <w:div w:id="1720862386">
      <w:bodyDiv w:val="1"/>
      <w:marLeft w:val="0"/>
      <w:marRight w:val="0"/>
      <w:marTop w:val="0"/>
      <w:marBottom w:val="0"/>
      <w:divBdr>
        <w:top w:val="none" w:sz="0" w:space="0" w:color="auto"/>
        <w:left w:val="none" w:sz="0" w:space="0" w:color="auto"/>
        <w:bottom w:val="none" w:sz="0" w:space="0" w:color="auto"/>
        <w:right w:val="none" w:sz="0" w:space="0" w:color="auto"/>
      </w:divBdr>
      <w:divsChild>
        <w:div w:id="692461448">
          <w:marLeft w:val="547"/>
          <w:marRight w:val="0"/>
          <w:marTop w:val="134"/>
          <w:marBottom w:val="0"/>
          <w:divBdr>
            <w:top w:val="none" w:sz="0" w:space="0" w:color="auto"/>
            <w:left w:val="none" w:sz="0" w:space="0" w:color="auto"/>
            <w:bottom w:val="none" w:sz="0" w:space="0" w:color="auto"/>
            <w:right w:val="none" w:sz="0" w:space="0" w:color="auto"/>
          </w:divBdr>
        </w:div>
        <w:div w:id="953168681">
          <w:marLeft w:val="547"/>
          <w:marRight w:val="0"/>
          <w:marTop w:val="134"/>
          <w:marBottom w:val="0"/>
          <w:divBdr>
            <w:top w:val="none" w:sz="0" w:space="0" w:color="auto"/>
            <w:left w:val="none" w:sz="0" w:space="0" w:color="auto"/>
            <w:bottom w:val="none" w:sz="0" w:space="0" w:color="auto"/>
            <w:right w:val="none" w:sz="0" w:space="0" w:color="auto"/>
          </w:divBdr>
        </w:div>
        <w:div w:id="1097869084">
          <w:marLeft w:val="547"/>
          <w:marRight w:val="0"/>
          <w:marTop w:val="134"/>
          <w:marBottom w:val="0"/>
          <w:divBdr>
            <w:top w:val="none" w:sz="0" w:space="0" w:color="auto"/>
            <w:left w:val="none" w:sz="0" w:space="0" w:color="auto"/>
            <w:bottom w:val="none" w:sz="0" w:space="0" w:color="auto"/>
            <w:right w:val="none" w:sz="0" w:space="0" w:color="auto"/>
          </w:divBdr>
        </w:div>
      </w:divsChild>
    </w:div>
    <w:div w:id="1835564370">
      <w:bodyDiv w:val="1"/>
      <w:marLeft w:val="0"/>
      <w:marRight w:val="0"/>
      <w:marTop w:val="0"/>
      <w:marBottom w:val="0"/>
      <w:divBdr>
        <w:top w:val="none" w:sz="0" w:space="0" w:color="auto"/>
        <w:left w:val="none" w:sz="0" w:space="0" w:color="auto"/>
        <w:bottom w:val="none" w:sz="0" w:space="0" w:color="auto"/>
        <w:right w:val="none" w:sz="0" w:space="0" w:color="auto"/>
      </w:divBdr>
      <w:divsChild>
        <w:div w:id="182520608">
          <w:marLeft w:val="0"/>
          <w:marRight w:val="0"/>
          <w:marTop w:val="115"/>
          <w:marBottom w:val="0"/>
          <w:divBdr>
            <w:top w:val="none" w:sz="0" w:space="0" w:color="auto"/>
            <w:left w:val="none" w:sz="0" w:space="0" w:color="auto"/>
            <w:bottom w:val="none" w:sz="0" w:space="0" w:color="auto"/>
            <w:right w:val="none" w:sz="0" w:space="0" w:color="auto"/>
          </w:divBdr>
        </w:div>
        <w:div w:id="1256283676">
          <w:marLeft w:val="0"/>
          <w:marRight w:val="0"/>
          <w:marTop w:val="115"/>
          <w:marBottom w:val="0"/>
          <w:divBdr>
            <w:top w:val="none" w:sz="0" w:space="0" w:color="auto"/>
            <w:left w:val="none" w:sz="0" w:space="0" w:color="auto"/>
            <w:bottom w:val="none" w:sz="0" w:space="0" w:color="auto"/>
            <w:right w:val="none" w:sz="0" w:space="0" w:color="auto"/>
          </w:divBdr>
        </w:div>
        <w:div w:id="2066030450">
          <w:marLeft w:val="0"/>
          <w:marRight w:val="0"/>
          <w:marTop w:val="115"/>
          <w:marBottom w:val="0"/>
          <w:divBdr>
            <w:top w:val="none" w:sz="0" w:space="0" w:color="auto"/>
            <w:left w:val="none" w:sz="0" w:space="0" w:color="auto"/>
            <w:bottom w:val="none" w:sz="0" w:space="0" w:color="auto"/>
            <w:right w:val="none" w:sz="0" w:space="0" w:color="auto"/>
          </w:divBdr>
        </w:div>
      </w:divsChild>
    </w:div>
    <w:div w:id="1888372128">
      <w:bodyDiv w:val="1"/>
      <w:marLeft w:val="0"/>
      <w:marRight w:val="0"/>
      <w:marTop w:val="0"/>
      <w:marBottom w:val="0"/>
      <w:divBdr>
        <w:top w:val="none" w:sz="0" w:space="0" w:color="auto"/>
        <w:left w:val="none" w:sz="0" w:space="0" w:color="auto"/>
        <w:bottom w:val="none" w:sz="0" w:space="0" w:color="auto"/>
        <w:right w:val="none" w:sz="0" w:space="0" w:color="auto"/>
      </w:divBdr>
      <w:divsChild>
        <w:div w:id="1485317140">
          <w:marLeft w:val="0"/>
          <w:marRight w:val="0"/>
          <w:marTop w:val="125"/>
          <w:marBottom w:val="0"/>
          <w:divBdr>
            <w:top w:val="none" w:sz="0" w:space="0" w:color="auto"/>
            <w:left w:val="none" w:sz="0" w:space="0" w:color="auto"/>
            <w:bottom w:val="none" w:sz="0" w:space="0" w:color="auto"/>
            <w:right w:val="none" w:sz="0" w:space="0" w:color="auto"/>
          </w:divBdr>
        </w:div>
        <w:div w:id="1639263001">
          <w:marLeft w:val="0"/>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E8171-E4A8-4EA7-8815-6C098932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RSPB</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A D Hawkins</dc:creator>
  <cp:lastModifiedBy>Lorna Duguid</cp:lastModifiedBy>
  <cp:revision>2</cp:revision>
  <cp:lastPrinted>2015-09-22T09:04:00Z</cp:lastPrinted>
  <dcterms:created xsi:type="dcterms:W3CDTF">2015-11-20T09:19:00Z</dcterms:created>
  <dcterms:modified xsi:type="dcterms:W3CDTF">2015-11-20T09:19:00Z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1508379374</vt:i4>
  </property>
  <property fmtid="{D5CDD505-2E9C-101B-9397-08002B2CF9AE}" pid="3" name="_NewReviewCycle">
    <vt:lpwstr/>
  </property>
  <property fmtid="{D5CDD505-2E9C-101B-9397-08002B2CF9AE}" pid="4" name="_EmailSubject">
    <vt:lpwstr>Report of the Spatial Planning WG</vt:lpwstr>
  </property>
  <property fmtid="{D5CDD505-2E9C-101B-9397-08002B2CF9AE}" pid="5" name="_AuthorEmail">
    <vt:lpwstr>euan.dunn@rspb.org.uk</vt:lpwstr>
  </property>
  <property fmtid="{D5CDD505-2E9C-101B-9397-08002B2CF9AE}" pid="6" name="_AuthorEmailDisplayName">
    <vt:lpwstr>Dunn, Euan</vt:lpwstr>
  </property>
  <property fmtid="{D5CDD505-2E9C-101B-9397-08002B2CF9AE}" pid="7" name="_PreviousAdHocReviewCycleID">
    <vt:i4>-615543840</vt:i4>
  </property>
  <property fmtid="{D5CDD505-2E9C-101B-9397-08002B2CF9AE}" pid="8" name="IsMyDocuments">
    <vt:lpwstr>1</vt:lpwstr>
  </property>
  <property fmtid="{D5CDD505-2E9C-101B-9397-08002B2CF9AE}" pid="9" name="_ReviewingToolsShownOnce">
    <vt:lpwstr/>
  </property>
</Properties>
</file>